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D76B" w14:textId="77777777" w:rsidR="00CA09B2" w:rsidRPr="00AD11BA" w:rsidRDefault="00CA09B2">
      <w:pPr>
        <w:pStyle w:val="T1"/>
        <w:pBdr>
          <w:bottom w:val="single" w:sz="6" w:space="0" w:color="auto"/>
        </w:pBdr>
        <w:spacing w:after="240"/>
      </w:pPr>
      <w:r w:rsidRPr="00AD11BA">
        <w:t>IEEE P802.11</w:t>
      </w:r>
      <w:r w:rsidRPr="00AD11B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992"/>
        <w:gridCol w:w="992"/>
        <w:gridCol w:w="3798"/>
      </w:tblGrid>
      <w:tr w:rsidR="00CA09B2" w:rsidRPr="00AD11BA" w14:paraId="09821888" w14:textId="77777777">
        <w:tblPrEx>
          <w:tblCellMar>
            <w:top w:w="0" w:type="dxa"/>
            <w:bottom w:w="0" w:type="dxa"/>
          </w:tblCellMar>
        </w:tblPrEx>
        <w:trPr>
          <w:trHeight w:val="485"/>
          <w:jc w:val="center"/>
        </w:trPr>
        <w:tc>
          <w:tcPr>
            <w:tcW w:w="9576" w:type="dxa"/>
            <w:gridSpan w:val="5"/>
            <w:vAlign w:val="center"/>
          </w:tcPr>
          <w:p w14:paraId="3FF3DD6B" w14:textId="13C48F97" w:rsidR="00CA09B2" w:rsidRPr="00AD11BA" w:rsidRDefault="00B60591">
            <w:pPr>
              <w:pStyle w:val="T2"/>
            </w:pPr>
            <w:r w:rsidRPr="00AD11BA">
              <w:t>SR2SR Link Identification</w:t>
            </w:r>
          </w:p>
        </w:tc>
      </w:tr>
      <w:tr w:rsidR="00CA09B2" w:rsidRPr="00AD11BA" w14:paraId="4BAE58C3" w14:textId="77777777">
        <w:tblPrEx>
          <w:tblCellMar>
            <w:top w:w="0" w:type="dxa"/>
            <w:bottom w:w="0" w:type="dxa"/>
          </w:tblCellMar>
        </w:tblPrEx>
        <w:trPr>
          <w:trHeight w:val="359"/>
          <w:jc w:val="center"/>
        </w:trPr>
        <w:tc>
          <w:tcPr>
            <w:tcW w:w="9576" w:type="dxa"/>
            <w:gridSpan w:val="5"/>
            <w:vAlign w:val="center"/>
          </w:tcPr>
          <w:p w14:paraId="5EF3D7E5" w14:textId="1BDDFB76" w:rsidR="00CA09B2" w:rsidRPr="00AD11BA" w:rsidRDefault="00CA09B2">
            <w:pPr>
              <w:pStyle w:val="T2"/>
              <w:ind w:left="0"/>
              <w:rPr>
                <w:sz w:val="20"/>
              </w:rPr>
            </w:pPr>
            <w:r w:rsidRPr="00AD11BA">
              <w:rPr>
                <w:sz w:val="20"/>
              </w:rPr>
              <w:t>Date:</w:t>
            </w:r>
            <w:r w:rsidRPr="00AD11BA">
              <w:rPr>
                <w:b w:val="0"/>
                <w:sz w:val="20"/>
              </w:rPr>
              <w:t xml:space="preserve"> </w:t>
            </w:r>
            <w:r w:rsidR="00166F5A" w:rsidRPr="00AD11BA">
              <w:rPr>
                <w:b w:val="0"/>
                <w:sz w:val="20"/>
              </w:rPr>
              <w:t>2022</w:t>
            </w:r>
            <w:r w:rsidRPr="00AD11BA">
              <w:rPr>
                <w:b w:val="0"/>
                <w:sz w:val="20"/>
              </w:rPr>
              <w:t>-</w:t>
            </w:r>
            <w:r w:rsidR="00166F5A" w:rsidRPr="00AD11BA">
              <w:rPr>
                <w:b w:val="0"/>
                <w:sz w:val="20"/>
              </w:rPr>
              <w:t>10</w:t>
            </w:r>
            <w:r w:rsidRPr="00AD11BA">
              <w:rPr>
                <w:b w:val="0"/>
                <w:sz w:val="20"/>
              </w:rPr>
              <w:t>-</w:t>
            </w:r>
            <w:r w:rsidR="00166F5A" w:rsidRPr="00AD11BA">
              <w:rPr>
                <w:b w:val="0"/>
                <w:sz w:val="20"/>
              </w:rPr>
              <w:t>31</w:t>
            </w:r>
          </w:p>
        </w:tc>
      </w:tr>
      <w:tr w:rsidR="00CA09B2" w:rsidRPr="00AD11BA" w14:paraId="0418D9D3" w14:textId="77777777">
        <w:tblPrEx>
          <w:tblCellMar>
            <w:top w:w="0" w:type="dxa"/>
            <w:bottom w:w="0" w:type="dxa"/>
          </w:tblCellMar>
        </w:tblPrEx>
        <w:trPr>
          <w:cantSplit/>
          <w:jc w:val="center"/>
        </w:trPr>
        <w:tc>
          <w:tcPr>
            <w:tcW w:w="9576" w:type="dxa"/>
            <w:gridSpan w:val="5"/>
            <w:vAlign w:val="center"/>
          </w:tcPr>
          <w:p w14:paraId="7A90123E" w14:textId="77777777" w:rsidR="00CA09B2" w:rsidRPr="00AD11BA" w:rsidRDefault="00CA09B2">
            <w:pPr>
              <w:pStyle w:val="T2"/>
              <w:spacing w:after="0"/>
              <w:ind w:left="0" w:right="0"/>
              <w:jc w:val="left"/>
              <w:rPr>
                <w:sz w:val="20"/>
              </w:rPr>
            </w:pPr>
            <w:r w:rsidRPr="00AD11BA">
              <w:rPr>
                <w:sz w:val="20"/>
              </w:rPr>
              <w:t>Author(s):</w:t>
            </w:r>
          </w:p>
        </w:tc>
      </w:tr>
      <w:tr w:rsidR="00CA09B2" w:rsidRPr="00AD11BA" w14:paraId="75A23BD1" w14:textId="77777777" w:rsidTr="00166F5A">
        <w:tblPrEx>
          <w:tblCellMar>
            <w:top w:w="0" w:type="dxa"/>
            <w:bottom w:w="0" w:type="dxa"/>
          </w:tblCellMar>
        </w:tblPrEx>
        <w:trPr>
          <w:jc w:val="center"/>
        </w:trPr>
        <w:tc>
          <w:tcPr>
            <w:tcW w:w="1951" w:type="dxa"/>
            <w:vAlign w:val="center"/>
          </w:tcPr>
          <w:p w14:paraId="48692C86" w14:textId="77777777" w:rsidR="00CA09B2" w:rsidRPr="00AD11BA" w:rsidRDefault="00CA09B2">
            <w:pPr>
              <w:pStyle w:val="T2"/>
              <w:spacing w:after="0"/>
              <w:ind w:left="0" w:right="0"/>
              <w:jc w:val="left"/>
              <w:rPr>
                <w:sz w:val="20"/>
              </w:rPr>
            </w:pPr>
            <w:r w:rsidRPr="00AD11BA">
              <w:rPr>
                <w:sz w:val="20"/>
              </w:rPr>
              <w:t>Name</w:t>
            </w:r>
          </w:p>
        </w:tc>
        <w:tc>
          <w:tcPr>
            <w:tcW w:w="1843" w:type="dxa"/>
            <w:vAlign w:val="center"/>
          </w:tcPr>
          <w:p w14:paraId="05DDE55A" w14:textId="77777777" w:rsidR="00CA09B2" w:rsidRPr="00AD11BA" w:rsidRDefault="0062440B">
            <w:pPr>
              <w:pStyle w:val="T2"/>
              <w:spacing w:after="0"/>
              <w:ind w:left="0" w:right="0"/>
              <w:jc w:val="left"/>
              <w:rPr>
                <w:sz w:val="20"/>
              </w:rPr>
            </w:pPr>
            <w:r w:rsidRPr="00AD11BA">
              <w:rPr>
                <w:sz w:val="20"/>
              </w:rPr>
              <w:t>Affiliation</w:t>
            </w:r>
          </w:p>
        </w:tc>
        <w:tc>
          <w:tcPr>
            <w:tcW w:w="992" w:type="dxa"/>
            <w:vAlign w:val="center"/>
          </w:tcPr>
          <w:p w14:paraId="2CB46AEA" w14:textId="77777777" w:rsidR="00CA09B2" w:rsidRPr="00AD11BA" w:rsidRDefault="00CA09B2">
            <w:pPr>
              <w:pStyle w:val="T2"/>
              <w:spacing w:after="0"/>
              <w:ind w:left="0" w:right="0"/>
              <w:jc w:val="left"/>
              <w:rPr>
                <w:sz w:val="20"/>
              </w:rPr>
            </w:pPr>
            <w:r w:rsidRPr="00AD11BA">
              <w:rPr>
                <w:sz w:val="20"/>
              </w:rPr>
              <w:t>Address</w:t>
            </w:r>
          </w:p>
        </w:tc>
        <w:tc>
          <w:tcPr>
            <w:tcW w:w="992" w:type="dxa"/>
            <w:vAlign w:val="center"/>
          </w:tcPr>
          <w:p w14:paraId="207655D9" w14:textId="77777777" w:rsidR="00CA09B2" w:rsidRPr="00AD11BA" w:rsidRDefault="00CA09B2">
            <w:pPr>
              <w:pStyle w:val="T2"/>
              <w:spacing w:after="0"/>
              <w:ind w:left="0" w:right="0"/>
              <w:jc w:val="left"/>
              <w:rPr>
                <w:sz w:val="20"/>
              </w:rPr>
            </w:pPr>
            <w:r w:rsidRPr="00AD11BA">
              <w:rPr>
                <w:sz w:val="20"/>
              </w:rPr>
              <w:t>Phone</w:t>
            </w:r>
          </w:p>
        </w:tc>
        <w:tc>
          <w:tcPr>
            <w:tcW w:w="3798" w:type="dxa"/>
            <w:vAlign w:val="center"/>
          </w:tcPr>
          <w:p w14:paraId="76C81A34" w14:textId="77777777" w:rsidR="00CA09B2" w:rsidRPr="00AD11BA" w:rsidRDefault="00CA09B2">
            <w:pPr>
              <w:pStyle w:val="T2"/>
              <w:spacing w:after="0"/>
              <w:ind w:left="0" w:right="0"/>
              <w:jc w:val="left"/>
              <w:rPr>
                <w:sz w:val="20"/>
              </w:rPr>
            </w:pPr>
            <w:r w:rsidRPr="00AD11BA">
              <w:rPr>
                <w:sz w:val="20"/>
              </w:rPr>
              <w:t>email</w:t>
            </w:r>
          </w:p>
        </w:tc>
      </w:tr>
      <w:tr w:rsidR="00CA09B2" w:rsidRPr="00AD11BA" w14:paraId="461F75D0" w14:textId="77777777" w:rsidTr="00166F5A">
        <w:tblPrEx>
          <w:tblCellMar>
            <w:top w:w="0" w:type="dxa"/>
            <w:bottom w:w="0" w:type="dxa"/>
          </w:tblCellMar>
        </w:tblPrEx>
        <w:trPr>
          <w:jc w:val="center"/>
        </w:trPr>
        <w:tc>
          <w:tcPr>
            <w:tcW w:w="1951" w:type="dxa"/>
            <w:vAlign w:val="center"/>
          </w:tcPr>
          <w:p w14:paraId="6BDDB5BD" w14:textId="2E303E52" w:rsidR="00CA09B2" w:rsidRPr="00AD11BA" w:rsidRDefault="00166F5A" w:rsidP="00166F5A">
            <w:pPr>
              <w:pStyle w:val="T2"/>
              <w:spacing w:after="0"/>
              <w:ind w:left="0" w:right="0"/>
              <w:jc w:val="left"/>
              <w:rPr>
                <w:b w:val="0"/>
                <w:sz w:val="20"/>
              </w:rPr>
            </w:pPr>
            <w:r w:rsidRPr="00AD11BA">
              <w:rPr>
                <w:b w:val="0"/>
                <w:sz w:val="20"/>
              </w:rPr>
              <w:t>Rajat Pushkarna</w:t>
            </w:r>
          </w:p>
        </w:tc>
        <w:tc>
          <w:tcPr>
            <w:tcW w:w="1843" w:type="dxa"/>
            <w:vAlign w:val="center"/>
          </w:tcPr>
          <w:p w14:paraId="3391F465" w14:textId="0A111AC6" w:rsidR="00CA09B2" w:rsidRPr="00AD11BA" w:rsidRDefault="00166F5A" w:rsidP="00166F5A">
            <w:pPr>
              <w:pStyle w:val="T2"/>
              <w:spacing w:after="0"/>
              <w:ind w:left="0" w:right="0"/>
              <w:jc w:val="left"/>
              <w:rPr>
                <w:b w:val="0"/>
                <w:sz w:val="20"/>
              </w:rPr>
            </w:pPr>
            <w:r w:rsidRPr="00AD11BA">
              <w:rPr>
                <w:b w:val="0"/>
                <w:sz w:val="20"/>
              </w:rPr>
              <w:t>Panasonic Corp.</w:t>
            </w:r>
          </w:p>
        </w:tc>
        <w:tc>
          <w:tcPr>
            <w:tcW w:w="992" w:type="dxa"/>
            <w:vAlign w:val="center"/>
          </w:tcPr>
          <w:p w14:paraId="01598D5A" w14:textId="77777777" w:rsidR="00CA09B2" w:rsidRPr="00AD11BA" w:rsidRDefault="00CA09B2">
            <w:pPr>
              <w:pStyle w:val="T2"/>
              <w:spacing w:after="0"/>
              <w:ind w:left="0" w:right="0"/>
              <w:rPr>
                <w:b w:val="0"/>
                <w:sz w:val="20"/>
              </w:rPr>
            </w:pPr>
          </w:p>
        </w:tc>
        <w:tc>
          <w:tcPr>
            <w:tcW w:w="992" w:type="dxa"/>
            <w:vAlign w:val="center"/>
          </w:tcPr>
          <w:p w14:paraId="6390742F" w14:textId="77777777" w:rsidR="00CA09B2" w:rsidRPr="00AD11BA" w:rsidRDefault="00CA09B2">
            <w:pPr>
              <w:pStyle w:val="T2"/>
              <w:spacing w:after="0"/>
              <w:ind w:left="0" w:right="0"/>
              <w:rPr>
                <w:b w:val="0"/>
                <w:sz w:val="20"/>
              </w:rPr>
            </w:pPr>
          </w:p>
        </w:tc>
        <w:tc>
          <w:tcPr>
            <w:tcW w:w="3798" w:type="dxa"/>
            <w:vAlign w:val="center"/>
          </w:tcPr>
          <w:p w14:paraId="37C61BA6" w14:textId="2022E505" w:rsidR="00CA09B2" w:rsidRPr="00AD11BA" w:rsidRDefault="00166F5A">
            <w:pPr>
              <w:pStyle w:val="T2"/>
              <w:spacing w:after="0"/>
              <w:ind w:left="0" w:right="0"/>
              <w:rPr>
                <w:b w:val="0"/>
                <w:sz w:val="16"/>
              </w:rPr>
            </w:pPr>
            <w:r w:rsidRPr="00AD11BA">
              <w:rPr>
                <w:b w:val="0"/>
                <w:sz w:val="16"/>
              </w:rPr>
              <w:t>rajat.pushkarna@sg.panasonic.com</w:t>
            </w:r>
          </w:p>
        </w:tc>
      </w:tr>
      <w:tr w:rsidR="00CA09B2" w:rsidRPr="00AD11BA" w14:paraId="55A4D502" w14:textId="77777777" w:rsidTr="00166F5A">
        <w:tblPrEx>
          <w:tblCellMar>
            <w:top w:w="0" w:type="dxa"/>
            <w:bottom w:w="0" w:type="dxa"/>
          </w:tblCellMar>
        </w:tblPrEx>
        <w:trPr>
          <w:jc w:val="center"/>
        </w:trPr>
        <w:tc>
          <w:tcPr>
            <w:tcW w:w="1951" w:type="dxa"/>
            <w:vAlign w:val="center"/>
          </w:tcPr>
          <w:p w14:paraId="3FF7837B" w14:textId="569C98AC" w:rsidR="00CA09B2" w:rsidRPr="00AD11BA" w:rsidRDefault="00166F5A" w:rsidP="00166F5A">
            <w:pPr>
              <w:pStyle w:val="T2"/>
              <w:spacing w:after="0"/>
              <w:ind w:left="0" w:right="0"/>
              <w:jc w:val="left"/>
              <w:rPr>
                <w:b w:val="0"/>
                <w:sz w:val="20"/>
              </w:rPr>
            </w:pPr>
            <w:r w:rsidRPr="00AD11BA">
              <w:rPr>
                <w:b w:val="0"/>
                <w:sz w:val="20"/>
              </w:rPr>
              <w:t>Rojan Chitrakar</w:t>
            </w:r>
          </w:p>
        </w:tc>
        <w:tc>
          <w:tcPr>
            <w:tcW w:w="1843" w:type="dxa"/>
            <w:vAlign w:val="center"/>
          </w:tcPr>
          <w:p w14:paraId="157BD423" w14:textId="7B875117" w:rsidR="00CA09B2" w:rsidRPr="00AD11BA" w:rsidRDefault="005A0E20" w:rsidP="005A0E20">
            <w:pPr>
              <w:pStyle w:val="T2"/>
              <w:spacing w:after="0"/>
              <w:ind w:left="0" w:right="0"/>
              <w:jc w:val="left"/>
              <w:rPr>
                <w:b w:val="0"/>
                <w:sz w:val="20"/>
              </w:rPr>
            </w:pPr>
            <w:r>
              <w:rPr>
                <w:b w:val="0"/>
                <w:sz w:val="20"/>
              </w:rPr>
              <w:t>Panasonic Corp.</w:t>
            </w:r>
          </w:p>
        </w:tc>
        <w:tc>
          <w:tcPr>
            <w:tcW w:w="992" w:type="dxa"/>
            <w:vAlign w:val="center"/>
          </w:tcPr>
          <w:p w14:paraId="4A85FD02" w14:textId="77777777" w:rsidR="00CA09B2" w:rsidRPr="00AD11BA" w:rsidRDefault="00CA09B2">
            <w:pPr>
              <w:pStyle w:val="T2"/>
              <w:spacing w:after="0"/>
              <w:ind w:left="0" w:right="0"/>
              <w:rPr>
                <w:b w:val="0"/>
                <w:sz w:val="20"/>
              </w:rPr>
            </w:pPr>
          </w:p>
        </w:tc>
        <w:tc>
          <w:tcPr>
            <w:tcW w:w="992" w:type="dxa"/>
            <w:vAlign w:val="center"/>
          </w:tcPr>
          <w:p w14:paraId="11481BB5" w14:textId="77777777" w:rsidR="00CA09B2" w:rsidRPr="00AD11BA" w:rsidRDefault="00CA09B2">
            <w:pPr>
              <w:pStyle w:val="T2"/>
              <w:spacing w:after="0"/>
              <w:ind w:left="0" w:right="0"/>
              <w:rPr>
                <w:b w:val="0"/>
                <w:sz w:val="20"/>
              </w:rPr>
            </w:pPr>
          </w:p>
        </w:tc>
        <w:tc>
          <w:tcPr>
            <w:tcW w:w="3798" w:type="dxa"/>
            <w:vAlign w:val="center"/>
          </w:tcPr>
          <w:p w14:paraId="165BAA66" w14:textId="77777777" w:rsidR="00CA09B2" w:rsidRPr="00AD11BA" w:rsidRDefault="00CA09B2">
            <w:pPr>
              <w:pStyle w:val="T2"/>
              <w:spacing w:after="0"/>
              <w:ind w:left="0" w:right="0"/>
              <w:rPr>
                <w:b w:val="0"/>
                <w:sz w:val="16"/>
              </w:rPr>
            </w:pPr>
          </w:p>
        </w:tc>
      </w:tr>
    </w:tbl>
    <w:p w14:paraId="2F8C9248" w14:textId="77777777" w:rsidR="00CA09B2" w:rsidRPr="00AD11BA" w:rsidRDefault="00CA09B2">
      <w:pPr>
        <w:pStyle w:val="T1"/>
        <w:spacing w:after="120"/>
        <w:rPr>
          <w:sz w:val="22"/>
        </w:rPr>
      </w:pPr>
      <w:r w:rsidRPr="00AD11BA">
        <w:rPr>
          <w:noProof/>
        </w:rPr>
        <w:pict w14:anchorId="22C2D252">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3AB4D7C4" w14:textId="5099F4DF" w:rsidR="0029020B" w:rsidRDefault="0029020B">
                  <w:pPr>
                    <w:pStyle w:val="T1"/>
                    <w:spacing w:after="120"/>
                  </w:pPr>
                  <w:r>
                    <w:t>Abstract</w:t>
                  </w:r>
                </w:p>
                <w:p w14:paraId="2D7BADE7" w14:textId="77777777" w:rsidR="00166F5A" w:rsidRDefault="00166F5A" w:rsidP="00166F5A">
                  <w:pPr>
                    <w:rPr>
                      <w:lang w:eastAsia="ko-KR"/>
                    </w:rPr>
                  </w:pPr>
                  <w:r>
                    <w:rPr>
                      <w:lang w:eastAsia="ko-KR"/>
                    </w:rPr>
                    <w:t>This submission proposes resolutions of comments received from TGbf comment collection 40 (TGbf Draft 0.1).</w:t>
                  </w:r>
                </w:p>
                <w:p w14:paraId="7CCB35DB" w14:textId="66F6F3AD" w:rsidR="00166F5A" w:rsidRDefault="00166F5A" w:rsidP="00166F5A">
                  <w:pPr>
                    <w:pStyle w:val="ListParagraph"/>
                    <w:numPr>
                      <w:ilvl w:val="0"/>
                      <w:numId w:val="1"/>
                    </w:numPr>
                    <w:rPr>
                      <w:lang w:eastAsia="ko-KR"/>
                    </w:rPr>
                  </w:pPr>
                  <w:r>
                    <w:rPr>
                      <w:lang w:eastAsia="ko-KR"/>
                    </w:rPr>
                    <w:t xml:space="preserve">CIDs: </w:t>
                  </w:r>
                  <w:r>
                    <w:rPr>
                      <w:lang w:eastAsia="ko-KR"/>
                    </w:rPr>
                    <w:t>295</w:t>
                  </w:r>
                  <w:r>
                    <w:rPr>
                      <w:lang w:eastAsia="ko-KR"/>
                    </w:rPr>
                    <w:t xml:space="preserve"> </w:t>
                  </w:r>
                  <w:r>
                    <w:rPr>
                      <w:rFonts w:eastAsia="SimSun"/>
                      <w:lang w:eastAsia="zh-CN"/>
                    </w:rPr>
                    <w:t>(</w:t>
                  </w:r>
                  <w:r>
                    <w:rPr>
                      <w:rFonts w:eastAsia="SimSun"/>
                      <w:lang w:eastAsia="zh-CN"/>
                    </w:rPr>
                    <w:t>1</w:t>
                  </w:r>
                  <w:r>
                    <w:rPr>
                      <w:rFonts w:eastAsia="SimSun"/>
                      <w:lang w:eastAsia="zh-CN"/>
                    </w:rPr>
                    <w:t xml:space="preserve"> CID)</w:t>
                  </w:r>
                </w:p>
                <w:p w14:paraId="1ADE0294" w14:textId="77777777" w:rsidR="00166F5A" w:rsidRDefault="00166F5A" w:rsidP="00166F5A"/>
                <w:p w14:paraId="5215B085" w14:textId="77777777" w:rsidR="00166F5A" w:rsidRDefault="00166F5A" w:rsidP="00166F5A">
                  <w:r>
                    <w:t>Revisions:</w:t>
                  </w:r>
                </w:p>
                <w:p w14:paraId="2521C678" w14:textId="77777777" w:rsidR="00166F5A" w:rsidRDefault="00166F5A" w:rsidP="00166F5A"/>
                <w:p w14:paraId="1BC7AF81" w14:textId="77777777" w:rsidR="00166F5A" w:rsidRDefault="00166F5A" w:rsidP="00166F5A">
                  <w:pPr>
                    <w:pStyle w:val="ListParagraph"/>
                    <w:numPr>
                      <w:ilvl w:val="0"/>
                      <w:numId w:val="2"/>
                    </w:numPr>
                  </w:pPr>
                  <w:r>
                    <w:t>Rev 0: Initial version of the document.</w:t>
                  </w:r>
                </w:p>
                <w:p w14:paraId="3D53E88D" w14:textId="77777777" w:rsidR="00166F5A" w:rsidRDefault="00166F5A">
                  <w:pPr>
                    <w:pStyle w:val="T1"/>
                    <w:spacing w:after="120"/>
                  </w:pPr>
                </w:p>
              </w:txbxContent>
            </v:textbox>
          </v:shape>
        </w:pict>
      </w:r>
    </w:p>
    <w:p w14:paraId="00DDCD22" w14:textId="77777777" w:rsidR="006E3F61" w:rsidRPr="00AD11BA" w:rsidRDefault="00CA09B2">
      <w:r w:rsidRPr="00AD11BA">
        <w:br w:type="page"/>
      </w:r>
    </w:p>
    <w:p w14:paraId="7502592C" w14:textId="0A8C3530" w:rsidR="006E3F61" w:rsidRPr="00AD11BA" w:rsidRDefault="006E3F61" w:rsidP="006E3F61">
      <w:pPr>
        <w:pStyle w:val="Heading3"/>
        <w:numPr>
          <w:ilvl w:val="0"/>
          <w:numId w:val="3"/>
        </w:numPr>
        <w:rPr>
          <w:rFonts w:ascii="Times New Roman" w:hAnsi="Times New Roman"/>
        </w:rPr>
      </w:pPr>
      <w:r w:rsidRPr="00AD11BA">
        <w:rPr>
          <w:rFonts w:ascii="Times New Roman" w:hAnsi="Times New Roman"/>
        </w:rPr>
        <w:t xml:space="preserve">Introduction </w:t>
      </w:r>
    </w:p>
    <w:p w14:paraId="3FE11E1F" w14:textId="77777777" w:rsidR="006E3F61" w:rsidRPr="00AD11BA" w:rsidRDefault="006E3F61" w:rsidP="006E3F61"/>
    <w:p w14:paraId="15901AE3" w14:textId="77777777" w:rsidR="004424D5" w:rsidRPr="00AD11BA" w:rsidRDefault="004424D5" w:rsidP="004424D5">
      <w:r w:rsidRPr="00AD11BA">
        <w:t>Interpretation of a Motion to Adopt</w:t>
      </w:r>
    </w:p>
    <w:p w14:paraId="54644058" w14:textId="77777777" w:rsidR="004424D5" w:rsidRPr="00AD11BA" w:rsidRDefault="004424D5" w:rsidP="004424D5">
      <w:pPr>
        <w:rPr>
          <w:lang w:eastAsia="ko-KR"/>
        </w:rPr>
      </w:pPr>
    </w:p>
    <w:p w14:paraId="25054D8E" w14:textId="77777777" w:rsidR="004424D5" w:rsidRPr="00AD11BA" w:rsidRDefault="004424D5" w:rsidP="004424D5">
      <w:pPr>
        <w:rPr>
          <w:lang w:eastAsia="ko-KR"/>
        </w:rPr>
      </w:pPr>
      <w:r w:rsidRPr="00AD11BA">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577D1567" w14:textId="77777777" w:rsidR="004424D5" w:rsidRPr="00AD11BA" w:rsidRDefault="004424D5" w:rsidP="004424D5">
      <w:pPr>
        <w:rPr>
          <w:lang w:eastAsia="ko-KR"/>
        </w:rPr>
      </w:pPr>
    </w:p>
    <w:p w14:paraId="74AB01EE" w14:textId="77777777" w:rsidR="004424D5" w:rsidRPr="00AD11BA" w:rsidRDefault="004424D5" w:rsidP="004424D5">
      <w:pPr>
        <w:rPr>
          <w:b/>
          <w:bCs/>
          <w:i/>
          <w:iCs/>
          <w:lang w:eastAsia="ko-KR"/>
        </w:rPr>
      </w:pPr>
      <w:r w:rsidRPr="00AD11BA">
        <w:rPr>
          <w:b/>
          <w:bCs/>
          <w:i/>
          <w:iCs/>
          <w:lang w:eastAsia="ko-KR"/>
        </w:rPr>
        <w:t>Editing instructions formatted like this are intended to be copied into the TGbf Draft (i.e., they are instructions to the 802.11bf editor on how to merge the text with the baseline documents).</w:t>
      </w:r>
    </w:p>
    <w:p w14:paraId="5F760EC8" w14:textId="77777777" w:rsidR="004424D5" w:rsidRPr="00AD11BA" w:rsidRDefault="004424D5" w:rsidP="004424D5">
      <w:pPr>
        <w:rPr>
          <w:lang w:eastAsia="ko-KR"/>
        </w:rPr>
      </w:pPr>
    </w:p>
    <w:p w14:paraId="4F21EA4B" w14:textId="4D9A8790" w:rsidR="004424D5" w:rsidRPr="00AD11BA" w:rsidRDefault="004424D5" w:rsidP="004424D5">
      <w:pPr>
        <w:rPr>
          <w:b/>
          <w:bCs/>
          <w:i/>
          <w:iCs/>
          <w:lang w:eastAsia="ko-KR"/>
        </w:rPr>
      </w:pPr>
      <w:r w:rsidRPr="00AD11BA">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3C4F7388" w14:textId="4F10088A" w:rsidR="004424D5" w:rsidRPr="00AD11BA" w:rsidRDefault="004424D5" w:rsidP="004424D5">
      <w:pPr>
        <w:rPr>
          <w:b/>
          <w:bCs/>
          <w:i/>
          <w:iCs/>
          <w:lang w:eastAsia="ko-KR"/>
        </w:rPr>
      </w:pPr>
    </w:p>
    <w:tbl>
      <w:tblPr>
        <w:tblStyle w:val="TableGrid"/>
        <w:tblW w:w="0" w:type="auto"/>
        <w:tblLook w:val="04A0" w:firstRow="1" w:lastRow="0" w:firstColumn="1" w:lastColumn="0" w:noHBand="0" w:noVBand="1"/>
      </w:tblPr>
      <w:tblGrid>
        <w:gridCol w:w="1021"/>
        <w:gridCol w:w="1340"/>
        <w:gridCol w:w="1150"/>
        <w:gridCol w:w="1037"/>
        <w:gridCol w:w="1029"/>
        <w:gridCol w:w="1305"/>
        <w:gridCol w:w="1305"/>
        <w:gridCol w:w="1389"/>
      </w:tblGrid>
      <w:tr w:rsidR="00B42EB9" w:rsidRPr="00AD11BA" w14:paraId="54B7A21F" w14:textId="77777777" w:rsidTr="004424D5">
        <w:tc>
          <w:tcPr>
            <w:tcW w:w="1197" w:type="dxa"/>
          </w:tcPr>
          <w:p w14:paraId="466B9BD1" w14:textId="428F54EE" w:rsidR="004424D5" w:rsidRPr="00AD11BA" w:rsidRDefault="004424D5" w:rsidP="004424D5">
            <w:pPr>
              <w:jc w:val="center"/>
              <w:rPr>
                <w:b/>
                <w:bCs/>
                <w:lang w:eastAsia="ko-KR"/>
              </w:rPr>
            </w:pPr>
            <w:r w:rsidRPr="00AD11BA">
              <w:rPr>
                <w:b/>
                <w:bCs/>
                <w:lang w:eastAsia="ko-KR"/>
              </w:rPr>
              <w:t>CID</w:t>
            </w:r>
          </w:p>
        </w:tc>
        <w:tc>
          <w:tcPr>
            <w:tcW w:w="1197" w:type="dxa"/>
          </w:tcPr>
          <w:p w14:paraId="29457AFE" w14:textId="1F21D1BC" w:rsidR="004424D5" w:rsidRPr="00AD11BA" w:rsidRDefault="004424D5" w:rsidP="004424D5">
            <w:pPr>
              <w:jc w:val="center"/>
              <w:rPr>
                <w:b/>
                <w:bCs/>
                <w:lang w:eastAsia="ko-KR"/>
              </w:rPr>
            </w:pPr>
            <w:r w:rsidRPr="00AD11BA">
              <w:rPr>
                <w:b/>
                <w:bCs/>
                <w:lang w:eastAsia="ko-KR"/>
              </w:rPr>
              <w:t>Commenter</w:t>
            </w:r>
          </w:p>
        </w:tc>
        <w:tc>
          <w:tcPr>
            <w:tcW w:w="1197" w:type="dxa"/>
          </w:tcPr>
          <w:p w14:paraId="698C227C" w14:textId="4102D1DF" w:rsidR="004424D5" w:rsidRPr="00AD11BA" w:rsidRDefault="004424D5" w:rsidP="004424D5">
            <w:pPr>
              <w:jc w:val="center"/>
              <w:rPr>
                <w:b/>
                <w:bCs/>
                <w:lang w:eastAsia="ko-KR"/>
              </w:rPr>
            </w:pPr>
            <w:r w:rsidRPr="00AD11BA">
              <w:rPr>
                <w:b/>
                <w:bCs/>
                <w:lang w:eastAsia="ko-KR"/>
              </w:rPr>
              <w:t>Clause</w:t>
            </w:r>
          </w:p>
        </w:tc>
        <w:tc>
          <w:tcPr>
            <w:tcW w:w="1197" w:type="dxa"/>
          </w:tcPr>
          <w:p w14:paraId="4013E270" w14:textId="63EEF580" w:rsidR="004424D5" w:rsidRPr="00AD11BA" w:rsidRDefault="004424D5" w:rsidP="004424D5">
            <w:pPr>
              <w:jc w:val="center"/>
              <w:rPr>
                <w:b/>
                <w:bCs/>
                <w:lang w:eastAsia="ko-KR"/>
              </w:rPr>
            </w:pPr>
            <w:r w:rsidRPr="00AD11BA">
              <w:rPr>
                <w:b/>
                <w:bCs/>
                <w:lang w:eastAsia="ko-KR"/>
              </w:rPr>
              <w:t>Page</w:t>
            </w:r>
          </w:p>
        </w:tc>
        <w:tc>
          <w:tcPr>
            <w:tcW w:w="1197" w:type="dxa"/>
          </w:tcPr>
          <w:p w14:paraId="55E2B209" w14:textId="53F44AE8" w:rsidR="004424D5" w:rsidRPr="00AD11BA" w:rsidRDefault="004424D5" w:rsidP="004424D5">
            <w:pPr>
              <w:jc w:val="center"/>
              <w:rPr>
                <w:b/>
                <w:bCs/>
                <w:lang w:eastAsia="ko-KR"/>
              </w:rPr>
            </w:pPr>
            <w:r w:rsidRPr="00AD11BA">
              <w:rPr>
                <w:b/>
                <w:bCs/>
                <w:lang w:eastAsia="ko-KR"/>
              </w:rPr>
              <w:t>Line</w:t>
            </w:r>
          </w:p>
        </w:tc>
        <w:tc>
          <w:tcPr>
            <w:tcW w:w="1197" w:type="dxa"/>
          </w:tcPr>
          <w:p w14:paraId="74D4EAD1" w14:textId="0C68A448" w:rsidR="004424D5" w:rsidRPr="00AD11BA" w:rsidRDefault="004424D5" w:rsidP="004424D5">
            <w:pPr>
              <w:jc w:val="center"/>
              <w:rPr>
                <w:b/>
                <w:bCs/>
                <w:lang w:eastAsia="ko-KR"/>
              </w:rPr>
            </w:pPr>
            <w:r w:rsidRPr="00AD11BA">
              <w:rPr>
                <w:b/>
                <w:bCs/>
                <w:lang w:eastAsia="ko-KR"/>
              </w:rPr>
              <w:t>Comment</w:t>
            </w:r>
          </w:p>
        </w:tc>
        <w:tc>
          <w:tcPr>
            <w:tcW w:w="1197" w:type="dxa"/>
          </w:tcPr>
          <w:p w14:paraId="2741552E" w14:textId="75F5075D" w:rsidR="004424D5" w:rsidRPr="00AD11BA" w:rsidRDefault="004424D5" w:rsidP="004424D5">
            <w:pPr>
              <w:jc w:val="center"/>
              <w:rPr>
                <w:b/>
                <w:bCs/>
                <w:lang w:eastAsia="ko-KR"/>
              </w:rPr>
            </w:pPr>
            <w:r w:rsidRPr="00AD11BA">
              <w:rPr>
                <w:b/>
                <w:bCs/>
                <w:lang w:eastAsia="ko-KR"/>
              </w:rPr>
              <w:t>Proposed Change</w:t>
            </w:r>
          </w:p>
        </w:tc>
        <w:tc>
          <w:tcPr>
            <w:tcW w:w="1197" w:type="dxa"/>
          </w:tcPr>
          <w:p w14:paraId="106D85ED" w14:textId="6F8EC250" w:rsidR="004424D5" w:rsidRPr="00AD11BA" w:rsidRDefault="004424D5" w:rsidP="004424D5">
            <w:pPr>
              <w:jc w:val="center"/>
              <w:rPr>
                <w:b/>
                <w:bCs/>
                <w:lang w:eastAsia="ko-KR"/>
              </w:rPr>
            </w:pPr>
            <w:r w:rsidRPr="00AD11BA">
              <w:rPr>
                <w:b/>
                <w:bCs/>
                <w:lang w:eastAsia="ko-KR"/>
              </w:rPr>
              <w:t>Resolution</w:t>
            </w:r>
          </w:p>
        </w:tc>
      </w:tr>
      <w:tr w:rsidR="00B42EB9" w:rsidRPr="00AD11BA" w14:paraId="430DF0ED" w14:textId="77777777" w:rsidTr="004424D5">
        <w:tc>
          <w:tcPr>
            <w:tcW w:w="1197" w:type="dxa"/>
          </w:tcPr>
          <w:p w14:paraId="23D374FA" w14:textId="4BD563EF" w:rsidR="004424D5" w:rsidRPr="00AD11BA" w:rsidRDefault="00737244" w:rsidP="004424D5">
            <w:pPr>
              <w:rPr>
                <w:lang w:eastAsia="ko-KR"/>
              </w:rPr>
            </w:pPr>
            <w:r w:rsidRPr="00AD11BA">
              <w:rPr>
                <w:lang w:eastAsia="ko-KR"/>
              </w:rPr>
              <w:t>295</w:t>
            </w:r>
          </w:p>
        </w:tc>
        <w:tc>
          <w:tcPr>
            <w:tcW w:w="1197" w:type="dxa"/>
          </w:tcPr>
          <w:p w14:paraId="023B5C03" w14:textId="46AE0358" w:rsidR="004424D5" w:rsidRPr="00AD11BA" w:rsidRDefault="00737244" w:rsidP="004424D5">
            <w:pPr>
              <w:rPr>
                <w:lang w:eastAsia="ko-KR"/>
              </w:rPr>
            </w:pPr>
            <w:r w:rsidRPr="00AD11BA">
              <w:rPr>
                <w:lang w:eastAsia="ko-KR"/>
              </w:rPr>
              <w:t>Rojan Chitrakar</w:t>
            </w:r>
          </w:p>
        </w:tc>
        <w:tc>
          <w:tcPr>
            <w:tcW w:w="1197" w:type="dxa"/>
          </w:tcPr>
          <w:p w14:paraId="3A45939E" w14:textId="193A6427" w:rsidR="004424D5" w:rsidRPr="00AD11BA" w:rsidRDefault="00B42EB9" w:rsidP="004424D5">
            <w:pPr>
              <w:rPr>
                <w:lang w:eastAsia="ko-KR"/>
              </w:rPr>
            </w:pPr>
            <w:r w:rsidRPr="00AD11BA">
              <w:rPr>
                <w:lang w:eastAsia="ko-KR"/>
              </w:rPr>
              <w:t>9.4.2.318</w:t>
            </w:r>
          </w:p>
        </w:tc>
        <w:tc>
          <w:tcPr>
            <w:tcW w:w="1197" w:type="dxa"/>
          </w:tcPr>
          <w:p w14:paraId="1A3CD48B" w14:textId="3B106D82" w:rsidR="004424D5" w:rsidRPr="00AD11BA" w:rsidRDefault="00B42EB9" w:rsidP="004424D5">
            <w:pPr>
              <w:rPr>
                <w:lang w:eastAsia="ko-KR"/>
              </w:rPr>
            </w:pPr>
            <w:r w:rsidRPr="00AD11BA">
              <w:rPr>
                <w:lang w:eastAsia="ko-KR"/>
              </w:rPr>
              <w:t>34</w:t>
            </w:r>
          </w:p>
        </w:tc>
        <w:tc>
          <w:tcPr>
            <w:tcW w:w="1197" w:type="dxa"/>
          </w:tcPr>
          <w:p w14:paraId="2AB28F32" w14:textId="0045DA97" w:rsidR="004424D5" w:rsidRPr="00AD11BA" w:rsidRDefault="00B42EB9" w:rsidP="004424D5">
            <w:pPr>
              <w:rPr>
                <w:lang w:eastAsia="ko-KR"/>
              </w:rPr>
            </w:pPr>
            <w:r w:rsidRPr="00AD11BA">
              <w:rPr>
                <w:lang w:eastAsia="ko-KR"/>
              </w:rPr>
              <w:t>1</w:t>
            </w:r>
          </w:p>
        </w:tc>
        <w:tc>
          <w:tcPr>
            <w:tcW w:w="1197" w:type="dxa"/>
          </w:tcPr>
          <w:p w14:paraId="1F2C3B92" w14:textId="22260E41" w:rsidR="004424D5" w:rsidRPr="00AD11BA" w:rsidRDefault="00B42EB9" w:rsidP="00B42EB9">
            <w:pPr>
              <w:rPr>
                <w:lang w:eastAsia="ko-KR"/>
              </w:rPr>
            </w:pPr>
            <w:r w:rsidRPr="00AD11BA">
              <w:rPr>
                <w:sz w:val="20"/>
              </w:rPr>
              <w:t>It is not clear how R2R links are identified in a Sensing Measurement Report.</w:t>
            </w:r>
          </w:p>
        </w:tc>
        <w:tc>
          <w:tcPr>
            <w:tcW w:w="1197" w:type="dxa"/>
          </w:tcPr>
          <w:p w14:paraId="7EF611AC" w14:textId="310E1750" w:rsidR="004424D5" w:rsidRPr="00AD11BA" w:rsidRDefault="00B42EB9" w:rsidP="004424D5">
            <w:pPr>
              <w:rPr>
                <w:sz w:val="20"/>
                <w:lang w:val="en-SG" w:eastAsia="en-SG"/>
              </w:rPr>
            </w:pPr>
            <w:r w:rsidRPr="00AD11BA">
              <w:rPr>
                <w:sz w:val="20"/>
              </w:rPr>
              <w:t xml:space="preserve">Add </w:t>
            </w:r>
            <w:proofErr w:type="spellStart"/>
            <w:r w:rsidRPr="00AD11BA">
              <w:rPr>
                <w:sz w:val="20"/>
              </w:rPr>
              <w:t>signaling</w:t>
            </w:r>
            <w:proofErr w:type="spellEnd"/>
            <w:r w:rsidRPr="00AD11BA">
              <w:rPr>
                <w:sz w:val="20"/>
              </w:rPr>
              <w:t xml:space="preserve"> to identify R2R link(s) in a Sensing Measurement Report</w:t>
            </w:r>
            <w:r w:rsidRPr="00AD11BA">
              <w:rPr>
                <w:sz w:val="20"/>
              </w:rPr>
              <w:t>.</w:t>
            </w:r>
          </w:p>
        </w:tc>
        <w:tc>
          <w:tcPr>
            <w:tcW w:w="1197" w:type="dxa"/>
          </w:tcPr>
          <w:p w14:paraId="31328706" w14:textId="77777777" w:rsidR="004424D5" w:rsidRPr="00AD11BA" w:rsidRDefault="00B42EB9" w:rsidP="004424D5">
            <w:pPr>
              <w:rPr>
                <w:b/>
                <w:bCs/>
                <w:i/>
                <w:iCs/>
                <w:lang w:eastAsia="ko-KR"/>
              </w:rPr>
            </w:pPr>
            <w:r w:rsidRPr="00AD11BA">
              <w:rPr>
                <w:b/>
                <w:bCs/>
                <w:i/>
                <w:iCs/>
                <w:lang w:eastAsia="ko-KR"/>
              </w:rPr>
              <w:t>Revised.</w:t>
            </w:r>
          </w:p>
          <w:p w14:paraId="1F2E6426" w14:textId="77777777" w:rsidR="00B42EB9" w:rsidRPr="00AD11BA" w:rsidRDefault="00B42EB9" w:rsidP="004424D5">
            <w:pPr>
              <w:rPr>
                <w:b/>
                <w:bCs/>
                <w:i/>
                <w:iCs/>
                <w:lang w:eastAsia="ko-KR"/>
              </w:rPr>
            </w:pPr>
          </w:p>
          <w:p w14:paraId="121B4E0B" w14:textId="2B66A91F" w:rsidR="003A3072" w:rsidRDefault="00B42EB9" w:rsidP="004424D5">
            <w:pPr>
              <w:rPr>
                <w:lang w:eastAsia="ko-KR"/>
              </w:rPr>
            </w:pPr>
            <w:r w:rsidRPr="00AD11BA">
              <w:rPr>
                <w:lang w:eastAsia="ko-KR"/>
              </w:rPr>
              <w:t xml:space="preserve">Agree with the commenter in principle that the </w:t>
            </w:r>
            <w:proofErr w:type="spellStart"/>
            <w:r w:rsidRPr="00AD11BA">
              <w:rPr>
                <w:lang w:eastAsia="ko-KR"/>
              </w:rPr>
              <w:t>initator</w:t>
            </w:r>
            <w:proofErr w:type="spellEnd"/>
            <w:r w:rsidRPr="00AD11BA">
              <w:rPr>
                <w:lang w:eastAsia="ko-KR"/>
              </w:rPr>
              <w:t xml:space="preserve"> receiving the measurement report should be able to identify the </w:t>
            </w:r>
            <w:r w:rsidR="00BE6FA1" w:rsidRPr="00AD11BA">
              <w:rPr>
                <w:lang w:eastAsia="ko-KR"/>
              </w:rPr>
              <w:t xml:space="preserve">SR2SR measurement report for which signalling is required. </w:t>
            </w:r>
            <w:r w:rsidR="007B30F9" w:rsidRPr="00AD11BA">
              <w:rPr>
                <w:lang w:eastAsia="ko-KR"/>
              </w:rPr>
              <w:t xml:space="preserve">22/1579r3 proposes signalling where TX and Rx of </w:t>
            </w:r>
            <w:r w:rsidR="004928B3" w:rsidRPr="00AD11BA">
              <w:rPr>
                <w:lang w:eastAsia="ko-KR"/>
              </w:rPr>
              <w:t xml:space="preserve">sensing </w:t>
            </w:r>
            <w:r w:rsidR="007B30F9" w:rsidRPr="00AD11BA">
              <w:rPr>
                <w:lang w:eastAsia="ko-KR"/>
              </w:rPr>
              <w:t>measurement report can be assigned using the USID/AID which is included in the sensing measurement report.</w:t>
            </w:r>
            <w:r w:rsidR="00336DBF" w:rsidRPr="00AD11BA">
              <w:rPr>
                <w:lang w:eastAsia="ko-KR"/>
              </w:rPr>
              <w:t xml:space="preserve"> </w:t>
            </w:r>
          </w:p>
          <w:p w14:paraId="1C72D32B" w14:textId="77777777" w:rsidR="000829C5" w:rsidRPr="00AD11BA" w:rsidRDefault="000829C5" w:rsidP="004424D5">
            <w:pPr>
              <w:rPr>
                <w:lang w:eastAsia="ko-KR"/>
              </w:rPr>
            </w:pPr>
          </w:p>
          <w:p w14:paraId="21D0EF4C" w14:textId="20C3AF2D" w:rsidR="003A3072" w:rsidRPr="00AD11BA" w:rsidRDefault="003A3072" w:rsidP="004424D5">
            <w:pPr>
              <w:rPr>
                <w:lang w:eastAsia="ko-KR"/>
              </w:rPr>
            </w:pPr>
            <w:r w:rsidRPr="00AD11BA">
              <w:rPr>
                <w:lang w:eastAsia="ko-KR"/>
              </w:rPr>
              <w:t xml:space="preserve">TGbf Editor </w:t>
            </w:r>
            <w:r w:rsidR="00853A8C" w:rsidRPr="00AD11BA">
              <w:rPr>
                <w:lang w:eastAsia="ko-KR"/>
              </w:rPr>
              <w:t>to make</w:t>
            </w:r>
            <w:r w:rsidR="007743DD">
              <w:rPr>
                <w:lang w:eastAsia="ko-KR"/>
              </w:rPr>
              <w:t xml:space="preserve"> </w:t>
            </w:r>
            <w:r w:rsidR="007743DD" w:rsidRPr="00FF115D">
              <w:rPr>
                <w:b/>
                <w:bCs/>
                <w:lang w:eastAsia="ko-KR"/>
              </w:rPr>
              <w:t>no</w:t>
            </w:r>
            <w:r w:rsidR="00853A8C" w:rsidRPr="00AD11BA">
              <w:rPr>
                <w:lang w:eastAsia="ko-KR"/>
              </w:rPr>
              <w:t xml:space="preserve"> changes </w:t>
            </w:r>
            <w:r w:rsidR="00A60E3F">
              <w:rPr>
                <w:lang w:eastAsia="ko-KR"/>
              </w:rPr>
              <w:t xml:space="preserve">for </w:t>
            </w:r>
            <w:r w:rsidR="00E95F6A" w:rsidRPr="00AD11BA">
              <w:rPr>
                <w:lang w:eastAsia="ko-KR"/>
              </w:rPr>
              <w:t>all headings that include CID 295.</w:t>
            </w:r>
            <w:r w:rsidR="00853A8C" w:rsidRPr="00AD11BA">
              <w:rPr>
                <w:lang w:eastAsia="ko-KR"/>
              </w:rPr>
              <w:t xml:space="preserve"> </w:t>
            </w:r>
          </w:p>
          <w:p w14:paraId="2C0AA5D9" w14:textId="77777777" w:rsidR="00BE6FA1" w:rsidRPr="00AD11BA" w:rsidRDefault="00BE6FA1" w:rsidP="004424D5">
            <w:pPr>
              <w:rPr>
                <w:lang w:eastAsia="ko-KR"/>
              </w:rPr>
            </w:pPr>
          </w:p>
          <w:p w14:paraId="4110F82F" w14:textId="06BA16D5" w:rsidR="00BE6FA1" w:rsidRPr="00AD11BA" w:rsidRDefault="00BE6FA1" w:rsidP="004424D5">
            <w:pPr>
              <w:rPr>
                <w:lang w:eastAsia="ko-KR"/>
              </w:rPr>
            </w:pPr>
          </w:p>
        </w:tc>
      </w:tr>
    </w:tbl>
    <w:p w14:paraId="352471B2" w14:textId="77777777" w:rsidR="004424D5" w:rsidRPr="00AD11BA" w:rsidRDefault="004424D5" w:rsidP="004424D5">
      <w:pPr>
        <w:rPr>
          <w:b/>
          <w:bCs/>
          <w:i/>
          <w:iCs/>
          <w:lang w:eastAsia="ko-KR"/>
        </w:rPr>
      </w:pPr>
    </w:p>
    <w:p w14:paraId="40977A4D" w14:textId="51D40BA5" w:rsidR="001C22A9" w:rsidRPr="00AD11BA" w:rsidRDefault="001C22A9">
      <w:pPr>
        <w:rPr>
          <w:b/>
          <w:bCs/>
        </w:rPr>
      </w:pPr>
      <w:r w:rsidRPr="00AD11BA">
        <w:rPr>
          <w:b/>
          <w:bCs/>
          <w:highlight w:val="yellow"/>
        </w:rPr>
        <w:t>Baseline is TGbf D0.3</w:t>
      </w:r>
    </w:p>
    <w:p w14:paraId="4E0C4858" w14:textId="484048F6" w:rsidR="001C42E9" w:rsidRPr="00AD11BA" w:rsidRDefault="001C42E9">
      <w:pPr>
        <w:rPr>
          <w:b/>
          <w:bCs/>
        </w:rPr>
      </w:pPr>
    </w:p>
    <w:p w14:paraId="7D597A4D" w14:textId="77777777" w:rsidR="00857C5F" w:rsidRPr="00AD11BA" w:rsidRDefault="001C22A9">
      <w:r w:rsidRPr="00AD11BA">
        <w:rPr>
          <w:b/>
          <w:bCs/>
        </w:rPr>
        <w:t>SP:</w:t>
      </w:r>
      <w:r w:rsidR="001C42E9" w:rsidRPr="00AD11BA">
        <w:rPr>
          <w:b/>
          <w:bCs/>
        </w:rPr>
        <w:t xml:space="preserve"> </w:t>
      </w:r>
      <w:r w:rsidR="001C42E9" w:rsidRPr="00AD11BA">
        <w:t>Do you agree to incorporate the changes provided in IEEE 11-22/1839r0 for CID 295</w:t>
      </w:r>
      <w:r w:rsidR="002B1703" w:rsidRPr="00AD11BA">
        <w:t xml:space="preserve"> to the next revision of 802.11bf draft?</w:t>
      </w:r>
    </w:p>
    <w:p w14:paraId="1476C295" w14:textId="77777777" w:rsidR="00857C5F" w:rsidRPr="00AD11BA" w:rsidRDefault="00857C5F"/>
    <w:p w14:paraId="1BD42302" w14:textId="7BE9917B" w:rsidR="001C22A9" w:rsidRDefault="00857C5F" w:rsidP="00AD11BA">
      <w:pPr>
        <w:pStyle w:val="Heading3"/>
        <w:rPr>
          <w:rFonts w:ascii="Times New Roman" w:hAnsi="Times New Roman"/>
          <w:bCs/>
        </w:rPr>
      </w:pPr>
      <w:r w:rsidRPr="00AD11BA">
        <w:rPr>
          <w:rFonts w:ascii="Times New Roman" w:hAnsi="Times New Roman"/>
        </w:rPr>
        <w:br w:type="page"/>
      </w:r>
      <w:r w:rsidR="00AD11BA" w:rsidRPr="00AD11BA">
        <w:rPr>
          <w:rFonts w:ascii="Times New Roman" w:hAnsi="Times New Roman"/>
        </w:rPr>
        <w:t>Discussion</w:t>
      </w:r>
      <w:r w:rsidR="001C22A9" w:rsidRPr="00AD11BA">
        <w:rPr>
          <w:rFonts w:ascii="Times New Roman" w:hAnsi="Times New Roman"/>
          <w:bCs/>
        </w:rPr>
        <w:t xml:space="preserve"> </w:t>
      </w:r>
    </w:p>
    <w:p w14:paraId="4A7F1571" w14:textId="5940CE42" w:rsidR="007A0287" w:rsidRDefault="00B24758" w:rsidP="007A0287">
      <w:pPr>
        <w:rPr>
          <w:b/>
          <w:bCs/>
        </w:rPr>
      </w:pPr>
      <w:r>
        <w:t xml:space="preserve">Please refer to 22/1579r3 for discussion related to this topic. The </w:t>
      </w:r>
      <w:r w:rsidR="00D8364E">
        <w:t xml:space="preserve">discussion points the use of USID/AID for the receiver and transmitter to be added </w:t>
      </w:r>
      <w:r w:rsidR="00823C00">
        <w:t>in the report Type and Segmentation Control wh</w:t>
      </w:r>
      <w:r w:rsidR="009273AD">
        <w:t xml:space="preserve">ich carries the </w:t>
      </w:r>
      <w:r w:rsidR="006E3ED7">
        <w:t xml:space="preserve">parameters required for report segmentation. </w:t>
      </w:r>
      <w:r w:rsidR="006E3ED7" w:rsidRPr="006E3ED7">
        <w:rPr>
          <w:b/>
          <w:bCs/>
        </w:rPr>
        <w:t>It is always present in all over-the-air (OTA) reports, including segments.</w:t>
      </w:r>
      <w:r w:rsidRPr="006E3ED7">
        <w:rPr>
          <w:b/>
          <w:bCs/>
        </w:rPr>
        <w:t xml:space="preserve"> </w:t>
      </w:r>
    </w:p>
    <w:p w14:paraId="2F529F30" w14:textId="1A817452" w:rsidR="00343AFB" w:rsidRDefault="00343AFB" w:rsidP="007A0287">
      <w:pPr>
        <w:rPr>
          <w:b/>
          <w:bCs/>
        </w:rPr>
      </w:pPr>
    </w:p>
    <w:p w14:paraId="73583920" w14:textId="6EFA52F3" w:rsidR="00343AFB" w:rsidRDefault="00343AFB" w:rsidP="007A0287">
      <w:r>
        <w:t>The format of sensing measurement report frame as referenced from 22/</w:t>
      </w:r>
      <w:r w:rsidR="00C00365">
        <w:t xml:space="preserve">1579r3 is as follows: </w:t>
      </w:r>
    </w:p>
    <w:p w14:paraId="144D3203" w14:textId="554EED2C" w:rsidR="00C00365" w:rsidRDefault="00C6443B" w:rsidP="007A0287">
      <w:pPr>
        <w:rPr>
          <w:noProof/>
        </w:rPr>
      </w:pPr>
      <w:r w:rsidRPr="00A4628E">
        <w:rPr>
          <w:noProof/>
        </w:rPr>
        <w:pict w14:anchorId="72747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Diagram&#10;&#10;Description automatically generated" style="width:468pt;height:395.55pt;visibility:visible;mso-wrap-style:square">
            <v:imagedata r:id="rId7" o:title="Diagram&#10;&#10;Description automatically generated"/>
          </v:shape>
        </w:pict>
      </w:r>
    </w:p>
    <w:p w14:paraId="4FED946A" w14:textId="686381C5" w:rsidR="0060379B" w:rsidRDefault="0060379B" w:rsidP="007A0287">
      <w:pPr>
        <w:rPr>
          <w:noProof/>
        </w:rPr>
      </w:pPr>
    </w:p>
    <w:p w14:paraId="49844257" w14:textId="77777777" w:rsidR="00E21F31" w:rsidRDefault="00E21F31" w:rsidP="00E21F31">
      <w:pPr>
        <w:pStyle w:val="ListParagraph"/>
        <w:ind w:left="0"/>
        <w:jc w:val="left"/>
        <w:rPr>
          <w:sz w:val="24"/>
          <w:u w:val="single"/>
        </w:rPr>
      </w:pPr>
    </w:p>
    <w:p w14:paraId="7971B155" w14:textId="37E3E381" w:rsidR="00E21F31" w:rsidRDefault="00E21F31" w:rsidP="00E21F31">
      <w:pPr>
        <w:pStyle w:val="ListParagraph"/>
        <w:ind w:left="0"/>
        <w:jc w:val="left"/>
        <w:rPr>
          <w:color w:val="000000"/>
          <w:w w:val="1"/>
          <w:sz w:val="24"/>
        </w:rPr>
      </w:pPr>
      <w:r>
        <w:rPr>
          <w:sz w:val="24"/>
          <w:u w:val="single"/>
        </w:rPr>
        <w:t>Report Type and Segmentation Control</w:t>
      </w:r>
      <w:r>
        <w:rPr>
          <w:sz w:val="24"/>
          <w:u w:val="single"/>
        </w:rPr>
        <w:t>:</w:t>
      </w:r>
      <w:r>
        <w:rPr>
          <w:sz w:val="24"/>
          <w:u w:val="single"/>
        </w:rPr>
        <w:t xml:space="preserve"> </w:t>
      </w:r>
      <w:r>
        <w:rPr>
          <w:sz w:val="24"/>
        </w:rPr>
        <w:t xml:space="preserve">Carries the Sensing Measurement Report Type and the parameter required for segmentation of reports. </w:t>
      </w:r>
      <w:r>
        <w:rPr>
          <w:b/>
          <w:bCs/>
          <w:sz w:val="24"/>
        </w:rPr>
        <w:t>Always present in all Over-the-air (OTA) reports, including segments</w:t>
      </w:r>
      <w:r>
        <w:rPr>
          <w:sz w:val="24"/>
        </w:rPr>
        <w:t>.</w:t>
      </w:r>
    </w:p>
    <w:p w14:paraId="4C76458C" w14:textId="1D190120" w:rsidR="0060379B" w:rsidRPr="00343AFB" w:rsidRDefault="0074078D" w:rsidP="007A0287">
      <w:r w:rsidRPr="00A4628E">
        <w:rPr>
          <w:noProof/>
        </w:rPr>
        <w:pict w14:anchorId="5E632897">
          <v:shape id="Picture 12" o:spid="_x0000_i1027" type="#_x0000_t75" alt="Diagram&#10;&#10;Description automatically generated" style="width:468pt;height:130.45pt;visibility:visible;mso-wrap-style:square">
            <v:imagedata r:id="rId8" o:title="Diagram&#10;&#10;Description automatically generated"/>
          </v:shape>
        </w:pict>
      </w:r>
    </w:p>
    <w:p w14:paraId="7D281A1B" w14:textId="77777777" w:rsidR="005F019C" w:rsidRDefault="005F019C"/>
    <w:p w14:paraId="3D44EFCE" w14:textId="77777777" w:rsidR="005F019C" w:rsidRDefault="005F019C"/>
    <w:p w14:paraId="48F0D1C0" w14:textId="3E87E18F" w:rsidR="005F019C" w:rsidRDefault="005F019C">
      <w:pPr>
        <w:rPr>
          <w:szCs w:val="22"/>
          <w:lang w:val="en-US"/>
        </w:rPr>
      </w:pPr>
      <w:r>
        <w:t xml:space="preserve">The USID/AID is a unique identifier for a sensing responder and therefore it can help in differentiating the </w:t>
      </w:r>
      <w:r w:rsidR="00814A44">
        <w:t>reports which are from different TX-RX pairs.</w:t>
      </w:r>
      <w:r w:rsidR="00860DF8">
        <w:t xml:space="preserve"> </w:t>
      </w:r>
      <w:r w:rsidR="00860DF8">
        <w:rPr>
          <w:szCs w:val="22"/>
          <w:lang w:val="en-US"/>
        </w:rPr>
        <w:t xml:space="preserve">AID/UID does not reveal the </w:t>
      </w:r>
      <w:r w:rsidR="00C65114">
        <w:rPr>
          <w:szCs w:val="22"/>
          <w:lang w:val="en-US"/>
        </w:rPr>
        <w:t>identity</w:t>
      </w:r>
      <w:r w:rsidR="00860DF8">
        <w:rPr>
          <w:szCs w:val="22"/>
          <w:lang w:val="en-US"/>
        </w:rPr>
        <w:t xml:space="preserve"> of a sensing responder, thus preserving security and privacy</w:t>
      </w:r>
      <w:r w:rsidR="00860DF8">
        <w:rPr>
          <w:szCs w:val="22"/>
          <w:lang w:val="en-US"/>
        </w:rPr>
        <w:t>.</w:t>
      </w:r>
    </w:p>
    <w:p w14:paraId="7DE511E6" w14:textId="57EC946C" w:rsidR="00C65114" w:rsidRDefault="00C65114">
      <w:pPr>
        <w:rPr>
          <w:szCs w:val="22"/>
          <w:lang w:val="en-US"/>
        </w:rPr>
      </w:pPr>
    </w:p>
    <w:p w14:paraId="2A06D46B" w14:textId="77777777" w:rsidR="00C65114" w:rsidRDefault="00C65114"/>
    <w:p w14:paraId="3CA999A9" w14:textId="18B0927F" w:rsidR="00CA09B2" w:rsidRPr="00F13727" w:rsidRDefault="00AE7B6B" w:rsidP="00F13727">
      <w:pPr>
        <w:pStyle w:val="Heading3"/>
        <w:rPr>
          <w:rFonts w:ascii="Times New Roman" w:hAnsi="Times New Roman"/>
        </w:rPr>
      </w:pPr>
      <w:r w:rsidRPr="005F019C">
        <w:br w:type="page"/>
      </w:r>
      <w:r w:rsidR="00CA09B2" w:rsidRPr="00F13727">
        <w:rPr>
          <w:rFonts w:ascii="Times New Roman" w:hAnsi="Times New Roman"/>
        </w:rPr>
        <w:t>References:</w:t>
      </w:r>
    </w:p>
    <w:p w14:paraId="5178CFA5" w14:textId="6B331EBA" w:rsidR="00CA09B2" w:rsidRDefault="007E02A7">
      <w:r>
        <w:t xml:space="preserve">[1] </w:t>
      </w:r>
      <w:r w:rsidR="00DA4F4E">
        <w:t xml:space="preserve">IEEE 11-22-1579r3, Sensing </w:t>
      </w:r>
      <w:proofErr w:type="spellStart"/>
      <w:r w:rsidR="00DA4F4E">
        <w:t>Mesurement</w:t>
      </w:r>
      <w:proofErr w:type="spellEnd"/>
      <w:r w:rsidR="00DA4F4E">
        <w:t xml:space="preserve"> Report, Rojan Chitrakar (Panasonic)</w:t>
      </w:r>
    </w:p>
    <w:p w14:paraId="2BD10497" w14:textId="168FED8E" w:rsidR="008A6A05" w:rsidRPr="00AD11BA" w:rsidRDefault="008A6A05">
      <w:r>
        <w:t>[</w:t>
      </w:r>
      <w:r w:rsidR="00F515E3">
        <w:t>2</w:t>
      </w:r>
      <w:r>
        <w:t>] 802.11bf D0.3</w:t>
      </w:r>
    </w:p>
    <w:sectPr w:rsidR="008A6A05" w:rsidRPr="00AD11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5D58" w14:textId="77777777" w:rsidR="00B60591" w:rsidRDefault="00B60591">
      <w:r>
        <w:separator/>
      </w:r>
    </w:p>
  </w:endnote>
  <w:endnote w:type="continuationSeparator" w:id="0">
    <w:p w14:paraId="2AEE73D0" w14:textId="77777777" w:rsidR="00B60591" w:rsidRDefault="00B6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8831" w14:textId="36C9C6AA" w:rsidR="0029020B" w:rsidRDefault="0029020B">
    <w:pPr>
      <w:pStyle w:val="Footer"/>
      <w:tabs>
        <w:tab w:val="clear" w:pos="6480"/>
        <w:tab w:val="center" w:pos="4680"/>
        <w:tab w:val="right" w:pos="9360"/>
      </w:tabs>
    </w:pPr>
    <w:fldSimple w:instr=" SUBJECT  \* MERGEFORMAT ">
      <w:r w:rsidR="00B60591">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D67902">
      <w:t>Rajat Pushkarna, Panasonic Corp.</w:t>
    </w:r>
  </w:p>
  <w:p w14:paraId="27F29E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FB10" w14:textId="77777777" w:rsidR="00B60591" w:rsidRDefault="00B60591">
      <w:r>
        <w:separator/>
      </w:r>
    </w:p>
  </w:footnote>
  <w:footnote w:type="continuationSeparator" w:id="0">
    <w:p w14:paraId="59149EF4" w14:textId="77777777" w:rsidR="00B60591" w:rsidRDefault="00B6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620" w14:textId="5E582F16" w:rsidR="0029020B" w:rsidRDefault="00923DB4">
    <w:pPr>
      <w:pStyle w:val="Header"/>
      <w:tabs>
        <w:tab w:val="clear" w:pos="6480"/>
        <w:tab w:val="center" w:pos="4680"/>
        <w:tab w:val="right" w:pos="9360"/>
      </w:tabs>
    </w:pPr>
    <w:r>
      <w:t>Oct 2022</w:t>
    </w:r>
    <w:r w:rsidR="0029020B">
      <w:tab/>
    </w:r>
    <w:r w:rsidR="0029020B">
      <w:tab/>
    </w:r>
    <w:fldSimple w:instr=" TITLE  \* MERGEFORMAT ">
      <w:r w:rsidR="00B60591">
        <w:t>doc.: IEEE 802.11-22/1839r0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4375F72"/>
    <w:multiLevelType w:val="hybridMultilevel"/>
    <w:tmpl w:val="7FDEEA20"/>
    <w:lvl w:ilvl="0" w:tplc="6570111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7A60F07"/>
    <w:multiLevelType w:val="hybridMultilevel"/>
    <w:tmpl w:val="49024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8074CAB"/>
    <w:multiLevelType w:val="hybridMultilevel"/>
    <w:tmpl w:val="FA1C9B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9281987">
    <w:abstractNumId w:val="0"/>
    <w:lvlOverride w:ilvl="0"/>
    <w:lvlOverride w:ilvl="1"/>
    <w:lvlOverride w:ilvl="2"/>
    <w:lvlOverride w:ilvl="3"/>
    <w:lvlOverride w:ilvl="4"/>
    <w:lvlOverride w:ilvl="5"/>
    <w:lvlOverride w:ilvl="6"/>
    <w:lvlOverride w:ilvl="7"/>
    <w:lvlOverride w:ilvl="8"/>
  </w:num>
  <w:num w:numId="2" w16cid:durableId="982927241">
    <w:abstractNumId w:val="4"/>
    <w:lvlOverride w:ilvl="0"/>
    <w:lvlOverride w:ilvl="1"/>
    <w:lvlOverride w:ilvl="2"/>
    <w:lvlOverride w:ilvl="3"/>
    <w:lvlOverride w:ilvl="4"/>
    <w:lvlOverride w:ilvl="5"/>
    <w:lvlOverride w:ilvl="6"/>
    <w:lvlOverride w:ilvl="7"/>
    <w:lvlOverride w:ilvl="8"/>
  </w:num>
  <w:num w:numId="3" w16cid:durableId="1168445778">
    <w:abstractNumId w:val="1"/>
  </w:num>
  <w:num w:numId="4" w16cid:durableId="999843257">
    <w:abstractNumId w:val="3"/>
    <w:lvlOverride w:ilvl="0"/>
    <w:lvlOverride w:ilvl="1"/>
    <w:lvlOverride w:ilvl="2"/>
    <w:lvlOverride w:ilvl="3"/>
    <w:lvlOverride w:ilvl="4"/>
    <w:lvlOverride w:ilvl="5"/>
    <w:lvlOverride w:ilvl="6"/>
    <w:lvlOverride w:ilvl="7"/>
    <w:lvlOverride w:ilvl="8"/>
  </w:num>
  <w:num w:numId="5" w16cid:durableId="114724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591"/>
    <w:rsid w:val="0008189D"/>
    <w:rsid w:val="000829C5"/>
    <w:rsid w:val="000E4E4D"/>
    <w:rsid w:val="00166F5A"/>
    <w:rsid w:val="001C22A9"/>
    <w:rsid w:val="001C42E9"/>
    <w:rsid w:val="001D723B"/>
    <w:rsid w:val="001F64DA"/>
    <w:rsid w:val="0029020B"/>
    <w:rsid w:val="002B1703"/>
    <w:rsid w:val="002D44BE"/>
    <w:rsid w:val="00336DBF"/>
    <w:rsid w:val="00343AFB"/>
    <w:rsid w:val="003A3072"/>
    <w:rsid w:val="00442037"/>
    <w:rsid w:val="004424D5"/>
    <w:rsid w:val="004928B3"/>
    <w:rsid w:val="004B064B"/>
    <w:rsid w:val="005A0E20"/>
    <w:rsid w:val="005F019C"/>
    <w:rsid w:val="0060379B"/>
    <w:rsid w:val="0062440B"/>
    <w:rsid w:val="006C0727"/>
    <w:rsid w:val="006E145F"/>
    <w:rsid w:val="006E3ED7"/>
    <w:rsid w:val="006E3F61"/>
    <w:rsid w:val="00737244"/>
    <w:rsid w:val="0074078D"/>
    <w:rsid w:val="00770572"/>
    <w:rsid w:val="007743DD"/>
    <w:rsid w:val="007A0287"/>
    <w:rsid w:val="007B30F9"/>
    <w:rsid w:val="007E02A7"/>
    <w:rsid w:val="00814A44"/>
    <w:rsid w:val="00823C00"/>
    <w:rsid w:val="00853A8C"/>
    <w:rsid w:val="00856A33"/>
    <w:rsid w:val="00857C5F"/>
    <w:rsid w:val="00860DF8"/>
    <w:rsid w:val="008A6A05"/>
    <w:rsid w:val="00923DB4"/>
    <w:rsid w:val="009273AD"/>
    <w:rsid w:val="00932151"/>
    <w:rsid w:val="009F2FBC"/>
    <w:rsid w:val="00A2273E"/>
    <w:rsid w:val="00A60E3F"/>
    <w:rsid w:val="00AA427C"/>
    <w:rsid w:val="00AD11BA"/>
    <w:rsid w:val="00AE3A2B"/>
    <w:rsid w:val="00AE7B6B"/>
    <w:rsid w:val="00B24758"/>
    <w:rsid w:val="00B42EB9"/>
    <w:rsid w:val="00B60591"/>
    <w:rsid w:val="00BE68C2"/>
    <w:rsid w:val="00BE6FA1"/>
    <w:rsid w:val="00C00365"/>
    <w:rsid w:val="00C06D15"/>
    <w:rsid w:val="00C6443B"/>
    <w:rsid w:val="00C65114"/>
    <w:rsid w:val="00CA09B2"/>
    <w:rsid w:val="00D67902"/>
    <w:rsid w:val="00D8364E"/>
    <w:rsid w:val="00DA4F4E"/>
    <w:rsid w:val="00DC5A7B"/>
    <w:rsid w:val="00E21F31"/>
    <w:rsid w:val="00E95F6A"/>
    <w:rsid w:val="00F13727"/>
    <w:rsid w:val="00F515E3"/>
    <w:rsid w:val="00FF11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ACBAA4"/>
  <w15:chartTrackingRefBased/>
  <w15:docId w15:val="{5F763739-6B13-4151-8A42-8F353E18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66F5A"/>
    <w:pPr>
      <w:ind w:left="720"/>
      <w:contextualSpacing/>
      <w:jc w:val="both"/>
    </w:pPr>
  </w:style>
  <w:style w:type="table" w:styleId="TableGrid">
    <w:name w:val="Table Grid"/>
    <w:basedOn w:val="TableNormal"/>
    <w:rsid w:val="0044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13">
      <w:bodyDiv w:val="1"/>
      <w:marLeft w:val="0"/>
      <w:marRight w:val="0"/>
      <w:marTop w:val="0"/>
      <w:marBottom w:val="0"/>
      <w:divBdr>
        <w:top w:val="none" w:sz="0" w:space="0" w:color="auto"/>
        <w:left w:val="none" w:sz="0" w:space="0" w:color="auto"/>
        <w:bottom w:val="none" w:sz="0" w:space="0" w:color="auto"/>
        <w:right w:val="none" w:sz="0" w:space="0" w:color="auto"/>
      </w:divBdr>
    </w:div>
    <w:div w:id="631253727">
      <w:bodyDiv w:val="1"/>
      <w:marLeft w:val="0"/>
      <w:marRight w:val="0"/>
      <w:marTop w:val="0"/>
      <w:marBottom w:val="0"/>
      <w:divBdr>
        <w:top w:val="none" w:sz="0" w:space="0" w:color="auto"/>
        <w:left w:val="none" w:sz="0" w:space="0" w:color="auto"/>
        <w:bottom w:val="none" w:sz="0" w:space="0" w:color="auto"/>
        <w:right w:val="none" w:sz="0" w:space="0" w:color="auto"/>
      </w:divBdr>
    </w:div>
    <w:div w:id="903177178">
      <w:bodyDiv w:val="1"/>
      <w:marLeft w:val="0"/>
      <w:marRight w:val="0"/>
      <w:marTop w:val="0"/>
      <w:marBottom w:val="0"/>
      <w:divBdr>
        <w:top w:val="none" w:sz="0" w:space="0" w:color="auto"/>
        <w:left w:val="none" w:sz="0" w:space="0" w:color="auto"/>
        <w:bottom w:val="none" w:sz="0" w:space="0" w:color="auto"/>
        <w:right w:val="none" w:sz="0" w:space="0" w:color="auto"/>
      </w:divBdr>
    </w:div>
    <w:div w:id="1029141495">
      <w:bodyDiv w:val="1"/>
      <w:marLeft w:val="0"/>
      <w:marRight w:val="0"/>
      <w:marTop w:val="0"/>
      <w:marBottom w:val="0"/>
      <w:divBdr>
        <w:top w:val="none" w:sz="0" w:space="0" w:color="auto"/>
        <w:left w:val="none" w:sz="0" w:space="0" w:color="auto"/>
        <w:bottom w:val="none" w:sz="0" w:space="0" w:color="auto"/>
        <w:right w:val="none" w:sz="0" w:space="0" w:color="auto"/>
      </w:divBdr>
    </w:div>
    <w:div w:id="19006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Template>
  <TotalTime>167</TotalTime>
  <Pages>6</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57</cp:revision>
  <cp:lastPrinted>1601-01-01T00:00:00Z</cp:lastPrinted>
  <dcterms:created xsi:type="dcterms:W3CDTF">2022-10-31T05:27:00Z</dcterms:created>
  <dcterms:modified xsi:type="dcterms:W3CDTF">2022-10-31T08:19:00Z</dcterms:modified>
</cp:coreProperties>
</file>