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0DFF6DA" w:rsidR="00B6527E" w:rsidRDefault="00EE23D4" w:rsidP="00A2662F">
            <w:pPr>
              <w:pStyle w:val="T2"/>
              <w:rPr>
                <w:lang w:eastAsia="zh-CN"/>
              </w:rPr>
            </w:pPr>
            <w:r>
              <w:t>CRs</w:t>
            </w:r>
            <w:r w:rsidR="00C92D89">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rsidR="00C5434C">
              <w:t xml:space="preserve">SBP </w:t>
            </w:r>
            <w:r w:rsidRPr="00EE23D4">
              <w:t xml:space="preserve">Miscellaneous </w:t>
            </w:r>
            <w:r w:rsidR="003226A9">
              <w:t>CIDs</w:t>
            </w:r>
          </w:p>
        </w:tc>
      </w:tr>
      <w:tr w:rsidR="00B6527E" w14:paraId="071CDBB3" w14:textId="77777777" w:rsidTr="007E52CB">
        <w:trPr>
          <w:trHeight w:val="359"/>
          <w:jc w:val="center"/>
        </w:trPr>
        <w:tc>
          <w:tcPr>
            <w:tcW w:w="9576" w:type="dxa"/>
            <w:gridSpan w:val="5"/>
            <w:vAlign w:val="center"/>
          </w:tcPr>
          <w:p w14:paraId="43614EE7" w14:textId="12AB1DEC"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E928A4">
              <w:rPr>
                <w:b w:val="0"/>
                <w:sz w:val="20"/>
              </w:rPr>
              <w:t>10</w:t>
            </w:r>
            <w:r>
              <w:rPr>
                <w:b w:val="0"/>
                <w:sz w:val="20"/>
              </w:rPr>
              <w:t>-</w:t>
            </w:r>
            <w:r w:rsidR="00EE23D4">
              <w:rPr>
                <w:b w:val="0"/>
                <w:sz w:val="20"/>
              </w:rPr>
              <w:t>19</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F3934" w14:paraId="36B539ED" w14:textId="77777777" w:rsidTr="00243052">
        <w:trPr>
          <w:jc w:val="center"/>
        </w:trPr>
        <w:tc>
          <w:tcPr>
            <w:tcW w:w="1615" w:type="dxa"/>
            <w:vAlign w:val="center"/>
          </w:tcPr>
          <w:p w14:paraId="24F74CFC" w14:textId="77777777" w:rsidR="00DF3934" w:rsidRPr="00B77FE4" w:rsidRDefault="00DF3934"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DF3934" w:rsidRPr="00B77FE4" w:rsidRDefault="00DF3934"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DF3934" w:rsidRPr="00B77FE4" w:rsidRDefault="00DF3934" w:rsidP="00B6527E">
            <w:pPr>
              <w:pStyle w:val="T2"/>
              <w:spacing w:after="0"/>
              <w:ind w:left="0" w:right="0"/>
              <w:jc w:val="left"/>
              <w:rPr>
                <w:b w:val="0"/>
                <w:sz w:val="20"/>
                <w:lang w:eastAsia="zh-CN"/>
              </w:rPr>
            </w:pPr>
          </w:p>
        </w:tc>
        <w:tc>
          <w:tcPr>
            <w:tcW w:w="1272" w:type="dxa"/>
            <w:vAlign w:val="center"/>
          </w:tcPr>
          <w:p w14:paraId="7D19EDFC" w14:textId="77777777" w:rsidR="00DF3934" w:rsidRPr="00B77FE4" w:rsidRDefault="00DF3934" w:rsidP="00B6527E">
            <w:pPr>
              <w:pStyle w:val="T2"/>
              <w:spacing w:after="0"/>
              <w:ind w:left="0" w:right="0"/>
              <w:jc w:val="left"/>
              <w:rPr>
                <w:b w:val="0"/>
                <w:sz w:val="20"/>
                <w:lang w:eastAsia="zh-CN"/>
              </w:rPr>
            </w:pPr>
          </w:p>
        </w:tc>
        <w:tc>
          <w:tcPr>
            <w:tcW w:w="3089" w:type="dxa"/>
            <w:vAlign w:val="center"/>
          </w:tcPr>
          <w:p w14:paraId="66CBE24B" w14:textId="77777777" w:rsidR="00DF3934" w:rsidRPr="00B77FE4" w:rsidRDefault="00DF3934" w:rsidP="00B6527E">
            <w:pPr>
              <w:pStyle w:val="T2"/>
              <w:spacing w:after="0"/>
              <w:ind w:left="0" w:right="0"/>
              <w:jc w:val="left"/>
              <w:rPr>
                <w:b w:val="0"/>
                <w:sz w:val="20"/>
                <w:lang w:eastAsia="zh-CN"/>
              </w:rPr>
            </w:pPr>
            <w:r>
              <w:rPr>
                <w:b w:val="0"/>
                <w:sz w:val="20"/>
                <w:lang w:eastAsia="zh-CN"/>
              </w:rPr>
              <w:t>Rojan.chitrakar@sg.panasonic.com</w:t>
            </w:r>
          </w:p>
        </w:tc>
      </w:tr>
      <w:tr w:rsidR="00DF3934" w14:paraId="4BFB1577" w14:textId="77777777" w:rsidTr="00243052">
        <w:trPr>
          <w:jc w:val="center"/>
        </w:trPr>
        <w:tc>
          <w:tcPr>
            <w:tcW w:w="1615" w:type="dxa"/>
            <w:vAlign w:val="center"/>
          </w:tcPr>
          <w:p w14:paraId="3E62A14A" w14:textId="5CE216C3" w:rsidR="00DF3934" w:rsidRPr="00964E0D" w:rsidRDefault="00DF3934"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DF3934" w:rsidRPr="00B6527E" w:rsidRDefault="00DF3934" w:rsidP="007D0235">
            <w:pPr>
              <w:pStyle w:val="T2"/>
              <w:spacing w:after="0"/>
              <w:ind w:left="0" w:right="0"/>
              <w:jc w:val="left"/>
              <w:rPr>
                <w:b w:val="0"/>
                <w:sz w:val="20"/>
                <w:lang w:eastAsia="zh-CN"/>
              </w:rPr>
            </w:pPr>
          </w:p>
        </w:tc>
        <w:tc>
          <w:tcPr>
            <w:tcW w:w="2070" w:type="dxa"/>
            <w:vAlign w:val="center"/>
          </w:tcPr>
          <w:p w14:paraId="6B918655" w14:textId="77777777" w:rsidR="00DF3934" w:rsidRPr="00B6527E" w:rsidRDefault="00DF3934" w:rsidP="007D0235">
            <w:pPr>
              <w:pStyle w:val="T2"/>
              <w:spacing w:after="0"/>
              <w:ind w:left="0" w:right="0"/>
              <w:jc w:val="left"/>
              <w:rPr>
                <w:b w:val="0"/>
                <w:sz w:val="20"/>
                <w:lang w:eastAsia="zh-CN"/>
              </w:rPr>
            </w:pPr>
          </w:p>
        </w:tc>
        <w:tc>
          <w:tcPr>
            <w:tcW w:w="1272" w:type="dxa"/>
            <w:vAlign w:val="center"/>
          </w:tcPr>
          <w:p w14:paraId="48DB6C34" w14:textId="77777777" w:rsidR="00DF3934" w:rsidRPr="00B6527E" w:rsidRDefault="00DF3934" w:rsidP="007D0235">
            <w:pPr>
              <w:pStyle w:val="T2"/>
              <w:spacing w:after="0"/>
              <w:ind w:left="0" w:right="0"/>
              <w:jc w:val="left"/>
              <w:rPr>
                <w:b w:val="0"/>
                <w:sz w:val="20"/>
                <w:lang w:eastAsia="zh-CN"/>
              </w:rPr>
            </w:pPr>
          </w:p>
        </w:tc>
        <w:tc>
          <w:tcPr>
            <w:tcW w:w="3089" w:type="dxa"/>
            <w:vAlign w:val="center"/>
          </w:tcPr>
          <w:p w14:paraId="24D2F483" w14:textId="77777777" w:rsidR="00DF3934" w:rsidRPr="00B6527E" w:rsidRDefault="00DF3934"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20C6E587" w:rsidR="005B7ADB" w:rsidRDefault="005B7ADB" w:rsidP="00744854">
                            <w:pPr>
                              <w:pStyle w:val="ListParagraph"/>
                              <w:numPr>
                                <w:ilvl w:val="0"/>
                                <w:numId w:val="3"/>
                              </w:numPr>
                              <w:contextualSpacing w:val="0"/>
                              <w:rPr>
                                <w:lang w:eastAsia="ko-KR"/>
                              </w:rPr>
                            </w:pPr>
                            <w:r>
                              <w:rPr>
                                <w:rFonts w:hint="eastAsia"/>
                                <w:lang w:eastAsia="ko-KR"/>
                              </w:rPr>
                              <w:t xml:space="preserve">CIDs: </w:t>
                            </w:r>
                            <w:r w:rsidR="003D5F89">
                              <w:rPr>
                                <w:lang w:eastAsia="ko-KR"/>
                              </w:rPr>
                              <w:t xml:space="preserve">12, </w:t>
                            </w:r>
                            <w:r w:rsidR="00D0275C">
                              <w:rPr>
                                <w:lang w:eastAsia="ko-KR"/>
                              </w:rPr>
                              <w:t>30</w:t>
                            </w:r>
                            <w:r w:rsidR="003D5F89">
                              <w:rPr>
                                <w:lang w:eastAsia="ko-KR"/>
                              </w:rPr>
                              <w:t>2</w:t>
                            </w:r>
                            <w:r w:rsidR="00D0275C">
                              <w:rPr>
                                <w:lang w:eastAsia="ko-KR"/>
                              </w:rPr>
                              <w:t xml:space="preserve">, </w:t>
                            </w:r>
                            <w:r w:rsidR="00C17401">
                              <w:rPr>
                                <w:lang w:eastAsia="ko-KR"/>
                              </w:rPr>
                              <w:t>32</w:t>
                            </w:r>
                            <w:r w:rsidR="003D5F89">
                              <w:rPr>
                                <w:lang w:eastAsia="ko-KR"/>
                              </w:rPr>
                              <w:t>0</w:t>
                            </w:r>
                            <w:r w:rsidR="00AA555E">
                              <w:rPr>
                                <w:lang w:eastAsia="ko-KR"/>
                              </w:rPr>
                              <w:t xml:space="preserve"> </w:t>
                            </w:r>
                            <w:r w:rsidR="006B5313" w:rsidRPr="002F14AB">
                              <w:rPr>
                                <w:rFonts w:eastAsia="SimSun"/>
                                <w:lang w:eastAsia="zh-CN"/>
                              </w:rPr>
                              <w:t>(</w:t>
                            </w:r>
                            <w:r w:rsidR="00EE23D4">
                              <w:rPr>
                                <w:rFonts w:eastAsia="SimSun"/>
                                <w:lang w:eastAsia="zh-CN"/>
                              </w:rPr>
                              <w:t>3</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618F24" w:rsidR="005B7ADB" w:rsidRDefault="005B7ADB" w:rsidP="00783701">
                            <w:pPr>
                              <w:pStyle w:val="ListParagraph"/>
                              <w:numPr>
                                <w:ilvl w:val="0"/>
                                <w:numId w:val="4"/>
                              </w:numPr>
                              <w:contextualSpacing w:val="0"/>
                            </w:pPr>
                            <w:r>
                              <w:t>Rev 0: Initial version of the document</w:t>
                            </w:r>
                            <w:r w:rsidR="006B4E32">
                              <w:t xml:space="preserve"> to initiate discussion</w:t>
                            </w:r>
                            <w:r>
                              <w: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w:t>
                      </w:r>
                      <w:proofErr w:type="spellStart"/>
                      <w:r>
                        <w:rPr>
                          <w:rFonts w:hint="eastAsia"/>
                          <w:lang w:eastAsia="ko-KR"/>
                        </w:rPr>
                        <w:t>TG</w:t>
                      </w:r>
                      <w:r>
                        <w:rPr>
                          <w:lang w:eastAsia="ko-KR"/>
                        </w:rPr>
                        <w:t>b</w:t>
                      </w:r>
                      <w:r w:rsidR="00AA555E">
                        <w:rPr>
                          <w:lang w:eastAsia="ko-KR"/>
                        </w:rPr>
                        <w:t>f</w:t>
                      </w:r>
                      <w:proofErr w:type="spellEnd"/>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20C6E587" w:rsidR="005B7ADB" w:rsidRDefault="005B7ADB" w:rsidP="00744854">
                      <w:pPr>
                        <w:pStyle w:val="ListParagraph"/>
                        <w:numPr>
                          <w:ilvl w:val="0"/>
                          <w:numId w:val="3"/>
                        </w:numPr>
                        <w:contextualSpacing w:val="0"/>
                        <w:rPr>
                          <w:lang w:eastAsia="ko-KR"/>
                        </w:rPr>
                      </w:pPr>
                      <w:r>
                        <w:rPr>
                          <w:rFonts w:hint="eastAsia"/>
                          <w:lang w:eastAsia="ko-KR"/>
                        </w:rPr>
                        <w:t xml:space="preserve">CIDs: </w:t>
                      </w:r>
                      <w:r w:rsidR="003D5F89">
                        <w:rPr>
                          <w:lang w:eastAsia="ko-KR"/>
                        </w:rPr>
                        <w:t xml:space="preserve">12, </w:t>
                      </w:r>
                      <w:r w:rsidR="00D0275C">
                        <w:rPr>
                          <w:lang w:eastAsia="ko-KR"/>
                        </w:rPr>
                        <w:t>30</w:t>
                      </w:r>
                      <w:r w:rsidR="003D5F89">
                        <w:rPr>
                          <w:lang w:eastAsia="ko-KR"/>
                        </w:rPr>
                        <w:t>2</w:t>
                      </w:r>
                      <w:r w:rsidR="00D0275C">
                        <w:rPr>
                          <w:lang w:eastAsia="ko-KR"/>
                        </w:rPr>
                        <w:t xml:space="preserve">, </w:t>
                      </w:r>
                      <w:r w:rsidR="00C17401">
                        <w:rPr>
                          <w:lang w:eastAsia="ko-KR"/>
                        </w:rPr>
                        <w:t>32</w:t>
                      </w:r>
                      <w:r w:rsidR="003D5F89">
                        <w:rPr>
                          <w:lang w:eastAsia="ko-KR"/>
                        </w:rPr>
                        <w:t>0</w:t>
                      </w:r>
                      <w:r w:rsidR="00AA555E">
                        <w:rPr>
                          <w:lang w:eastAsia="ko-KR"/>
                        </w:rPr>
                        <w:t xml:space="preserve"> </w:t>
                      </w:r>
                      <w:r w:rsidR="006B5313" w:rsidRPr="002F14AB">
                        <w:rPr>
                          <w:rFonts w:eastAsia="SimSun"/>
                          <w:lang w:eastAsia="zh-CN"/>
                        </w:rPr>
                        <w:t>(</w:t>
                      </w:r>
                      <w:r w:rsidR="00EE23D4">
                        <w:rPr>
                          <w:rFonts w:eastAsia="SimSun"/>
                          <w:lang w:eastAsia="zh-CN"/>
                        </w:rPr>
                        <w:t>3</w:t>
                      </w:r>
                      <w:r w:rsidR="003F4509">
                        <w:rPr>
                          <w:rFonts w:eastAsia="SimSun"/>
                          <w:lang w:eastAsia="zh-CN"/>
                        </w:rPr>
                        <w:t xml:space="preserve"> </w:t>
                      </w:r>
                      <w:r w:rsidRPr="002F14AB">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77618F24" w:rsidR="005B7ADB" w:rsidRDefault="005B7ADB" w:rsidP="00783701">
                      <w:pPr>
                        <w:pStyle w:val="ListParagraph"/>
                        <w:numPr>
                          <w:ilvl w:val="0"/>
                          <w:numId w:val="4"/>
                        </w:numPr>
                        <w:contextualSpacing w:val="0"/>
                      </w:pPr>
                      <w:r>
                        <w:t>Rev 0: Initial version of the document</w:t>
                      </w:r>
                      <w:r w:rsidR="006B4E32">
                        <w:t xml:space="preserve"> to initiate discussion</w:t>
                      </w:r>
                      <w:r>
                        <w: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AA6C7E">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00AA6C7E">
        <w:rPr>
          <w:b/>
          <w:bCs/>
          <w:i/>
          <w:iCs/>
          <w:lang w:eastAsia="ko-KR"/>
        </w:rPr>
        <w:t>TGbf</w:t>
      </w:r>
      <w:proofErr w:type="spellEnd"/>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3D5F89" w:rsidRPr="00966382" w14:paraId="6D06A269" w14:textId="77777777" w:rsidTr="00776049">
        <w:trPr>
          <w:trHeight w:val="243"/>
        </w:trPr>
        <w:tc>
          <w:tcPr>
            <w:tcW w:w="709" w:type="dxa"/>
          </w:tcPr>
          <w:p w14:paraId="5B768679" w14:textId="32C5CD84" w:rsidR="003D5F89" w:rsidRPr="00F86E40" w:rsidRDefault="003D5F89" w:rsidP="003D5F89">
            <w:pPr>
              <w:jc w:val="right"/>
              <w:rPr>
                <w:rFonts w:ascii="Arial" w:hAnsi="Arial" w:cs="Arial"/>
                <w:sz w:val="20"/>
                <w:szCs w:val="20"/>
              </w:rPr>
            </w:pPr>
            <w:bookmarkStart w:id="2" w:name="_Hlk118293777"/>
            <w:bookmarkEnd w:id="0"/>
            <w:r w:rsidRPr="0003317B">
              <w:t>12</w:t>
            </w:r>
          </w:p>
        </w:tc>
        <w:tc>
          <w:tcPr>
            <w:tcW w:w="1276" w:type="dxa"/>
          </w:tcPr>
          <w:p w14:paraId="6D11BF99" w14:textId="6969FDA5" w:rsidR="003D5F89" w:rsidRPr="00F86E40" w:rsidRDefault="003D5F89" w:rsidP="003D5F89">
            <w:pPr>
              <w:jc w:val="left"/>
              <w:rPr>
                <w:rFonts w:ascii="Arial" w:hAnsi="Arial" w:cs="Arial"/>
                <w:sz w:val="20"/>
                <w:szCs w:val="20"/>
              </w:rPr>
            </w:pPr>
            <w:r w:rsidRPr="0003317B">
              <w:t>Rajat Pushkarna</w:t>
            </w:r>
          </w:p>
        </w:tc>
        <w:tc>
          <w:tcPr>
            <w:tcW w:w="922" w:type="dxa"/>
          </w:tcPr>
          <w:p w14:paraId="5CF04325" w14:textId="223481BA" w:rsidR="003D5F89" w:rsidRPr="00F86E40" w:rsidRDefault="003D5F89" w:rsidP="003D5F89">
            <w:pPr>
              <w:rPr>
                <w:rFonts w:ascii="Arial" w:hAnsi="Arial" w:cs="Arial"/>
                <w:sz w:val="20"/>
                <w:szCs w:val="20"/>
              </w:rPr>
            </w:pPr>
            <w:r w:rsidRPr="0003317B">
              <w:t>11.21.19.1</w:t>
            </w:r>
          </w:p>
        </w:tc>
        <w:tc>
          <w:tcPr>
            <w:tcW w:w="720" w:type="dxa"/>
          </w:tcPr>
          <w:p w14:paraId="084CD84F" w14:textId="53618DCB" w:rsidR="003D5F89" w:rsidRPr="00F86E40" w:rsidRDefault="003D5F89" w:rsidP="003D5F89">
            <w:pPr>
              <w:rPr>
                <w:rFonts w:ascii="Arial" w:hAnsi="Arial" w:cs="Arial"/>
                <w:sz w:val="20"/>
                <w:szCs w:val="20"/>
              </w:rPr>
            </w:pPr>
            <w:r w:rsidRPr="0003317B">
              <w:t>72</w:t>
            </w:r>
          </w:p>
        </w:tc>
        <w:tc>
          <w:tcPr>
            <w:tcW w:w="768" w:type="dxa"/>
          </w:tcPr>
          <w:p w14:paraId="0712F777" w14:textId="60897AB0" w:rsidR="003D5F89" w:rsidRPr="00F86E40" w:rsidRDefault="003D5F89" w:rsidP="003D5F89">
            <w:pPr>
              <w:rPr>
                <w:rFonts w:ascii="Arial" w:hAnsi="Arial" w:cs="Arial"/>
                <w:sz w:val="20"/>
                <w:szCs w:val="20"/>
              </w:rPr>
            </w:pPr>
            <w:r w:rsidRPr="0003317B">
              <w:t>58</w:t>
            </w:r>
          </w:p>
        </w:tc>
        <w:tc>
          <w:tcPr>
            <w:tcW w:w="1662" w:type="dxa"/>
          </w:tcPr>
          <w:p w14:paraId="7DAC3C82" w14:textId="153498E4" w:rsidR="003D5F89" w:rsidRPr="00F86E40" w:rsidRDefault="003D5F89" w:rsidP="003D5F89">
            <w:pPr>
              <w:rPr>
                <w:rFonts w:ascii="Arial" w:hAnsi="Arial" w:cs="Arial"/>
                <w:sz w:val="20"/>
                <w:szCs w:val="20"/>
              </w:rPr>
            </w:pPr>
            <w:r w:rsidRPr="0003317B">
              <w:t>SBP is a procedure that allows a non-AP STA to request an AP to perform WLAN sensing (see 11.21.18) on its behalf. Is it assumed that the AP supports SBP? What about the scenario where AP is a legacy AP i.e. non-11bf compatible AP?</w:t>
            </w:r>
          </w:p>
        </w:tc>
        <w:tc>
          <w:tcPr>
            <w:tcW w:w="2307" w:type="dxa"/>
          </w:tcPr>
          <w:p w14:paraId="539A54D7" w14:textId="1DDA2C56" w:rsidR="003D5F89" w:rsidRPr="00F86E40" w:rsidRDefault="003D5F89" w:rsidP="003D5F89">
            <w:pPr>
              <w:rPr>
                <w:rFonts w:ascii="Arial" w:hAnsi="Arial" w:cs="Arial"/>
                <w:sz w:val="20"/>
                <w:szCs w:val="20"/>
              </w:rPr>
            </w:pPr>
            <w:r w:rsidRPr="0003317B">
              <w:t>Use case for sensing by proxy must also cater to scenarios where AP is a legacy AP. It is possible in some scenarios where AP is not an 11bf capable AP but the STAs are 11bf capable STAs.</w:t>
            </w:r>
          </w:p>
        </w:tc>
        <w:tc>
          <w:tcPr>
            <w:tcW w:w="2126" w:type="dxa"/>
          </w:tcPr>
          <w:p w14:paraId="62B5A1A2" w14:textId="7712F41B" w:rsidR="003D5F89" w:rsidRPr="00F86E40" w:rsidRDefault="003D5F89" w:rsidP="003D5F89">
            <w:pPr>
              <w:rPr>
                <w:rFonts w:ascii="Arial" w:hAnsi="Arial" w:cs="Arial"/>
                <w:sz w:val="20"/>
                <w:szCs w:val="20"/>
              </w:rPr>
            </w:pPr>
          </w:p>
        </w:tc>
      </w:tr>
      <w:bookmarkEnd w:id="2"/>
      <w:tr w:rsidR="003D5F89" w:rsidRPr="00966382" w14:paraId="25986C05" w14:textId="77777777" w:rsidTr="00776049">
        <w:trPr>
          <w:trHeight w:val="243"/>
        </w:trPr>
        <w:tc>
          <w:tcPr>
            <w:tcW w:w="709" w:type="dxa"/>
          </w:tcPr>
          <w:p w14:paraId="452047B8" w14:textId="55E399FC" w:rsidR="003D5F89" w:rsidRDefault="003D5F89" w:rsidP="003D5F89">
            <w:pPr>
              <w:jc w:val="right"/>
              <w:rPr>
                <w:rFonts w:ascii="Arial" w:hAnsi="Arial" w:cs="Arial"/>
                <w:sz w:val="20"/>
              </w:rPr>
            </w:pPr>
            <w:r w:rsidRPr="0003317B">
              <w:t>302</w:t>
            </w:r>
          </w:p>
        </w:tc>
        <w:tc>
          <w:tcPr>
            <w:tcW w:w="1276" w:type="dxa"/>
          </w:tcPr>
          <w:p w14:paraId="026C38E3" w14:textId="179741F9" w:rsidR="003D5F89" w:rsidRDefault="003D5F89" w:rsidP="003D5F89">
            <w:pPr>
              <w:jc w:val="left"/>
              <w:rPr>
                <w:rFonts w:ascii="Arial" w:hAnsi="Arial" w:cs="Arial"/>
                <w:sz w:val="20"/>
              </w:rPr>
            </w:pPr>
            <w:r w:rsidRPr="0003317B">
              <w:t>Rojan Chitrakar</w:t>
            </w:r>
          </w:p>
        </w:tc>
        <w:tc>
          <w:tcPr>
            <w:tcW w:w="922" w:type="dxa"/>
          </w:tcPr>
          <w:p w14:paraId="0CCF042E" w14:textId="20CAB6BD" w:rsidR="003D5F89" w:rsidRDefault="003D5F89" w:rsidP="003D5F89">
            <w:pPr>
              <w:rPr>
                <w:rFonts w:ascii="Arial" w:hAnsi="Arial" w:cs="Arial"/>
                <w:sz w:val="20"/>
              </w:rPr>
            </w:pPr>
            <w:r w:rsidRPr="0003317B">
              <w:t>9.6.7.49</w:t>
            </w:r>
          </w:p>
        </w:tc>
        <w:tc>
          <w:tcPr>
            <w:tcW w:w="720" w:type="dxa"/>
          </w:tcPr>
          <w:p w14:paraId="7CE01687" w14:textId="1BD13CDD" w:rsidR="003D5F89" w:rsidRDefault="003D5F89" w:rsidP="003D5F89">
            <w:pPr>
              <w:rPr>
                <w:rFonts w:ascii="Arial" w:hAnsi="Arial" w:cs="Arial"/>
                <w:sz w:val="20"/>
              </w:rPr>
            </w:pPr>
            <w:r w:rsidRPr="0003317B">
              <w:t>57</w:t>
            </w:r>
          </w:p>
        </w:tc>
        <w:tc>
          <w:tcPr>
            <w:tcW w:w="768" w:type="dxa"/>
          </w:tcPr>
          <w:p w14:paraId="3BCD2442" w14:textId="4518B9B6" w:rsidR="003D5F89" w:rsidRDefault="003D5F89" w:rsidP="003D5F89">
            <w:pPr>
              <w:rPr>
                <w:rFonts w:ascii="Arial" w:hAnsi="Arial" w:cs="Arial"/>
                <w:sz w:val="20"/>
              </w:rPr>
            </w:pPr>
            <w:r w:rsidRPr="0003317B">
              <w:t>40</w:t>
            </w:r>
          </w:p>
        </w:tc>
        <w:tc>
          <w:tcPr>
            <w:tcW w:w="1662" w:type="dxa"/>
          </w:tcPr>
          <w:p w14:paraId="47F4BFD5" w14:textId="60994345" w:rsidR="003D5F89" w:rsidRDefault="003D5F89" w:rsidP="003D5F89">
            <w:pPr>
              <w:rPr>
                <w:rFonts w:ascii="Arial" w:hAnsi="Arial" w:cs="Arial"/>
                <w:sz w:val="20"/>
              </w:rPr>
            </w:pPr>
            <w:bookmarkStart w:id="3" w:name="_Hlk118293835"/>
            <w:r w:rsidRPr="0003317B">
              <w:t xml:space="preserve">When a sensing measurement setup is being performed as part of a SBP procedure, the sensing responder may need to verify the identity of the SBP Initiator to decide whether or not to accept the a sensing </w:t>
            </w:r>
            <w:r w:rsidRPr="0003317B">
              <w:lastRenderedPageBreak/>
              <w:t>measurement setup request. As such, the Sensing Measurement Setup Request frame should carry the ID of the SBP Initiator.</w:t>
            </w:r>
            <w:bookmarkEnd w:id="3"/>
          </w:p>
        </w:tc>
        <w:tc>
          <w:tcPr>
            <w:tcW w:w="2307" w:type="dxa"/>
          </w:tcPr>
          <w:p w14:paraId="13702FA4" w14:textId="72B6AB32" w:rsidR="003D5F89" w:rsidRDefault="003D5F89" w:rsidP="003D5F89">
            <w:pPr>
              <w:rPr>
                <w:rFonts w:ascii="Arial" w:hAnsi="Arial" w:cs="Arial"/>
                <w:sz w:val="20"/>
              </w:rPr>
            </w:pPr>
            <w:r w:rsidRPr="0003317B">
              <w:lastRenderedPageBreak/>
              <w:t>Add an ID field in the Sensing Measurement Setup Request frame to carry the ID (e.g., MAC Address) of the SBP Initiator when a sensing measurement setup is being performed as part of a SBP procedure.</w:t>
            </w:r>
          </w:p>
        </w:tc>
        <w:tc>
          <w:tcPr>
            <w:tcW w:w="2126" w:type="dxa"/>
          </w:tcPr>
          <w:p w14:paraId="51E05136" w14:textId="7FD574C5" w:rsidR="003D5F89" w:rsidRPr="00966382" w:rsidRDefault="003D5F89" w:rsidP="003D5F89">
            <w:pPr>
              <w:rPr>
                <w:rFonts w:ascii="Arial" w:hAnsi="Arial" w:cs="Arial"/>
                <w:b/>
                <w:sz w:val="20"/>
              </w:rPr>
            </w:pPr>
          </w:p>
        </w:tc>
      </w:tr>
      <w:tr w:rsidR="003D5F89" w:rsidRPr="00966382" w14:paraId="2B5092BA" w14:textId="77777777" w:rsidTr="00776049">
        <w:trPr>
          <w:trHeight w:val="243"/>
        </w:trPr>
        <w:tc>
          <w:tcPr>
            <w:tcW w:w="709" w:type="dxa"/>
          </w:tcPr>
          <w:p w14:paraId="09FA8F14" w14:textId="64D2840A" w:rsidR="003D5F89" w:rsidRDefault="003D5F89" w:rsidP="003D5F89">
            <w:pPr>
              <w:jc w:val="right"/>
              <w:rPr>
                <w:rFonts w:ascii="Arial" w:hAnsi="Arial" w:cs="Arial"/>
                <w:sz w:val="20"/>
              </w:rPr>
            </w:pPr>
            <w:r w:rsidRPr="0003317B">
              <w:t>320</w:t>
            </w:r>
          </w:p>
        </w:tc>
        <w:tc>
          <w:tcPr>
            <w:tcW w:w="1276" w:type="dxa"/>
          </w:tcPr>
          <w:p w14:paraId="6C4F9D0C" w14:textId="7B205C9B" w:rsidR="003D5F89" w:rsidRDefault="003D5F89" w:rsidP="003D5F89">
            <w:pPr>
              <w:jc w:val="left"/>
              <w:rPr>
                <w:rFonts w:ascii="Arial" w:hAnsi="Arial" w:cs="Arial"/>
                <w:sz w:val="20"/>
              </w:rPr>
            </w:pPr>
            <w:r w:rsidRPr="0003317B">
              <w:t>Rojan Chitrakar</w:t>
            </w:r>
          </w:p>
        </w:tc>
        <w:tc>
          <w:tcPr>
            <w:tcW w:w="922" w:type="dxa"/>
          </w:tcPr>
          <w:p w14:paraId="4548CAB2" w14:textId="238D9282" w:rsidR="003D5F89" w:rsidRDefault="003D5F89" w:rsidP="003D5F89">
            <w:pPr>
              <w:rPr>
                <w:rFonts w:ascii="Arial" w:hAnsi="Arial" w:cs="Arial"/>
                <w:sz w:val="20"/>
              </w:rPr>
            </w:pPr>
            <w:r w:rsidRPr="0003317B">
              <w:t>11.21.19.2</w:t>
            </w:r>
          </w:p>
        </w:tc>
        <w:tc>
          <w:tcPr>
            <w:tcW w:w="720" w:type="dxa"/>
          </w:tcPr>
          <w:p w14:paraId="1494F9E4" w14:textId="093A43CC" w:rsidR="003D5F89" w:rsidRDefault="003D5F89" w:rsidP="003D5F89">
            <w:pPr>
              <w:rPr>
                <w:rFonts w:ascii="Arial" w:hAnsi="Arial" w:cs="Arial"/>
                <w:sz w:val="20"/>
              </w:rPr>
            </w:pPr>
            <w:r w:rsidRPr="0003317B">
              <w:t>73</w:t>
            </w:r>
          </w:p>
        </w:tc>
        <w:tc>
          <w:tcPr>
            <w:tcW w:w="768" w:type="dxa"/>
          </w:tcPr>
          <w:p w14:paraId="32435088" w14:textId="1B478FED" w:rsidR="003D5F89" w:rsidRDefault="003D5F89" w:rsidP="003D5F89">
            <w:pPr>
              <w:rPr>
                <w:rFonts w:ascii="Arial" w:hAnsi="Arial" w:cs="Arial"/>
                <w:sz w:val="20"/>
              </w:rPr>
            </w:pPr>
            <w:r w:rsidRPr="0003317B">
              <w:t>1</w:t>
            </w:r>
          </w:p>
        </w:tc>
        <w:tc>
          <w:tcPr>
            <w:tcW w:w="1662" w:type="dxa"/>
          </w:tcPr>
          <w:p w14:paraId="5B754DCB" w14:textId="23692E06" w:rsidR="003D5F89" w:rsidRDefault="003D5F89" w:rsidP="003D5F89">
            <w:pPr>
              <w:rPr>
                <w:rFonts w:ascii="Arial" w:hAnsi="Arial" w:cs="Arial"/>
                <w:sz w:val="20"/>
              </w:rPr>
            </w:pPr>
            <w:r w:rsidRPr="0003317B">
              <w:t>Since an AP would have better information of the potential sensing responders in its BSS, an SBP Initiator would greatly benefit from being able to access such information (e.g., supported features, locations, link metrices etc.) from the AP. While the topic was discussed in 11bf in the past, it was not followed up in enough details citing security concerns. This proposal has merit even beyond sensing and should be given due consideration.</w:t>
            </w:r>
          </w:p>
        </w:tc>
        <w:tc>
          <w:tcPr>
            <w:tcW w:w="2307" w:type="dxa"/>
          </w:tcPr>
          <w:p w14:paraId="3E363D29" w14:textId="15175521" w:rsidR="003D5F89" w:rsidRDefault="003D5F89" w:rsidP="003D5F89">
            <w:pPr>
              <w:rPr>
                <w:rFonts w:ascii="Arial" w:hAnsi="Arial" w:cs="Arial"/>
                <w:sz w:val="20"/>
              </w:rPr>
            </w:pPr>
            <w:r w:rsidRPr="0003317B">
              <w:t xml:space="preserve">Add </w:t>
            </w:r>
            <w:proofErr w:type="spellStart"/>
            <w:r w:rsidRPr="0003317B">
              <w:t>signaling</w:t>
            </w:r>
            <w:proofErr w:type="spellEnd"/>
            <w:r w:rsidRPr="0003317B">
              <w:t xml:space="preserve"> to enable the SBP Initiator to access information of the potential sensing responders in the AP's BSS(e.g., supported features, locations, link metrices etc.) from the AP. If security is an concern, additional access validation can be performed to ensure the SBP Initiator is qualified to access such information.</w:t>
            </w:r>
          </w:p>
        </w:tc>
        <w:tc>
          <w:tcPr>
            <w:tcW w:w="2126" w:type="dxa"/>
          </w:tcPr>
          <w:p w14:paraId="41D5349F" w14:textId="45ABD193" w:rsidR="003D5F89" w:rsidRPr="00966382" w:rsidRDefault="003D5F89" w:rsidP="003D5F89">
            <w:pPr>
              <w:rPr>
                <w:rFonts w:ascii="Arial" w:hAnsi="Arial" w:cs="Arial"/>
                <w:b/>
                <w:sz w:val="20"/>
              </w:rPr>
            </w:pPr>
          </w:p>
        </w:tc>
      </w:tr>
    </w:tbl>
    <w:p w14:paraId="4783648A" w14:textId="1641A6AB" w:rsidR="00EE5D9B" w:rsidRPr="00E3607E" w:rsidRDefault="001050F9" w:rsidP="00EE5D9B">
      <w:pPr>
        <w:pStyle w:val="T"/>
        <w:rPr>
          <w:sz w:val="24"/>
          <w:lang w:val="en-GB"/>
        </w:rPr>
      </w:pPr>
      <w:r w:rsidRPr="00E81AE1">
        <w:rPr>
          <w:b/>
          <w:sz w:val="24"/>
          <w:highlight w:val="yellow"/>
          <w:u w:val="single"/>
          <w:lang w:val="en-GB"/>
        </w:rPr>
        <w:t>Baseline is D0.3</w:t>
      </w:r>
      <w:r w:rsidR="00656607">
        <w:rPr>
          <w:sz w:val="24"/>
          <w:lang w:val="en-GB"/>
        </w:rPr>
        <w:t>.</w:t>
      </w:r>
    </w:p>
    <w:p w14:paraId="2831D4CB" w14:textId="1336F1C4" w:rsidR="008D6786" w:rsidRDefault="00D00837"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EndPr/>
        <w:sdtContent>
          <w:r w:rsidR="00481216">
            <w:rPr>
              <w:sz w:val="24"/>
            </w:rPr>
            <w:t>IEEE 11-22-1783r0</w:t>
          </w:r>
        </w:sdtContent>
      </w:sdt>
      <w:r>
        <w:rPr>
          <w:sz w:val="24"/>
        </w:rPr>
        <w:t xml:space="preserve"> </w:t>
      </w:r>
      <w:r w:rsidRPr="003B3EC3">
        <w:rPr>
          <w:sz w:val="24"/>
        </w:rPr>
        <w:t xml:space="preserve">for </w:t>
      </w:r>
      <w:r w:rsidR="008D6786">
        <w:rPr>
          <w:sz w:val="24"/>
        </w:rPr>
        <w:t xml:space="preserve">the following CIDs </w:t>
      </w:r>
      <w:r w:rsidRPr="003B3EC3">
        <w:rPr>
          <w:sz w:val="24"/>
        </w:rPr>
        <w:t>to the next revision of 802.</w:t>
      </w:r>
      <w:r w:rsidR="00AA555E">
        <w:rPr>
          <w:sz w:val="24"/>
        </w:rPr>
        <w:t>11bf</w:t>
      </w:r>
      <w:r w:rsidRPr="003B3EC3">
        <w:rPr>
          <w:sz w:val="24"/>
        </w:rPr>
        <w:t xml:space="preserve"> draft</w:t>
      </w:r>
      <w:r w:rsidR="008D6786">
        <w:rPr>
          <w:sz w:val="24"/>
        </w:rPr>
        <w:t xml:space="preserve">: </w:t>
      </w:r>
      <w:r w:rsidR="00BA0E7F" w:rsidRPr="00BA0E7F">
        <w:rPr>
          <w:sz w:val="24"/>
        </w:rPr>
        <w:t>12, 302, 320</w:t>
      </w:r>
      <w:r w:rsidR="008D6786">
        <w:rPr>
          <w:sz w:val="24"/>
        </w:rPr>
        <w:t>?</w:t>
      </w:r>
    </w:p>
    <w:p w14:paraId="3800E48D" w14:textId="77777777" w:rsidR="001050F9" w:rsidRDefault="001050F9">
      <w:pPr>
        <w:jc w:val="left"/>
      </w:pPr>
      <w:r>
        <w:br w:type="page"/>
      </w:r>
    </w:p>
    <w:p w14:paraId="154CCC38" w14:textId="51C8E877" w:rsidR="001050F9" w:rsidRPr="00E3607E" w:rsidRDefault="001050F9" w:rsidP="001050F9">
      <w:pPr>
        <w:pStyle w:val="T"/>
        <w:rPr>
          <w:sz w:val="24"/>
          <w:lang w:val="en-GB"/>
        </w:rPr>
      </w:pPr>
      <w:r w:rsidRPr="00E3607E">
        <w:rPr>
          <w:b/>
          <w:sz w:val="24"/>
          <w:u w:val="single"/>
          <w:lang w:val="en-GB"/>
        </w:rPr>
        <w:lastRenderedPageBreak/>
        <w:t>Discussion:</w:t>
      </w:r>
    </w:p>
    <w:p w14:paraId="188278EC" w14:textId="62494F8C" w:rsidR="00275B74" w:rsidRDefault="004375E8">
      <w:pPr>
        <w:jc w:val="left"/>
      </w:pPr>
      <w:r w:rsidRPr="004375E8">
        <w:rPr>
          <w:u w:val="single"/>
        </w:rPr>
        <w:t>CID 12:</w:t>
      </w:r>
      <w:r w:rsidRPr="004375E8">
        <w:t xml:space="preserve"> SBP is a procedure that allows a non-AP STA to request an AP to perform WLAN sensing (see 11.21.18) on its behalf. Is it assumed that the AP supports SBP? What about the scenario where AP is a legacy AP i.e.</w:t>
      </w:r>
      <w:r w:rsidR="00171E22">
        <w:t>,</w:t>
      </w:r>
      <w:r w:rsidRPr="004375E8">
        <w:t xml:space="preserve"> non-11bf compatible AP?</w:t>
      </w:r>
    </w:p>
    <w:p w14:paraId="08231622" w14:textId="4514DD4F" w:rsidR="004375E8" w:rsidRDefault="004375E8">
      <w:pPr>
        <w:jc w:val="left"/>
      </w:pPr>
    </w:p>
    <w:p w14:paraId="4C7AFA10" w14:textId="20C03B38" w:rsidR="004375E8" w:rsidRDefault="00056D49" w:rsidP="00653EB9">
      <w:pPr>
        <w:jc w:val="center"/>
        <w:rPr>
          <w:u w:val="single"/>
        </w:rPr>
      </w:pPr>
      <w:r w:rsidRPr="00056D49">
        <w:rPr>
          <w:noProof/>
        </w:rPr>
        <w:drawing>
          <wp:inline distT="0" distB="0" distL="0" distR="0" wp14:anchorId="63104456" wp14:editId="727C2C66">
            <wp:extent cx="4937760" cy="2083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2083435"/>
                    </a:xfrm>
                    <a:prstGeom prst="rect">
                      <a:avLst/>
                    </a:prstGeom>
                    <a:noFill/>
                    <a:ln>
                      <a:noFill/>
                    </a:ln>
                  </pic:spPr>
                </pic:pic>
              </a:graphicData>
            </a:graphic>
          </wp:inline>
        </w:drawing>
      </w:r>
    </w:p>
    <w:p w14:paraId="1C51F575" w14:textId="70787263" w:rsidR="004375E8" w:rsidRDefault="004375E8">
      <w:pPr>
        <w:jc w:val="left"/>
        <w:rPr>
          <w:u w:val="single"/>
        </w:rPr>
      </w:pPr>
    </w:p>
    <w:p w14:paraId="3F5885F4" w14:textId="00EDE10F" w:rsidR="00E11D34" w:rsidRDefault="00653EB9">
      <w:pPr>
        <w:jc w:val="left"/>
      </w:pPr>
      <w:r>
        <w:t>Example</w:t>
      </w:r>
      <w:r w:rsidRPr="00653EB9">
        <w:t>:</w:t>
      </w:r>
      <w:r>
        <w:t xml:space="preserve"> AP-1 doesn’t support SBP but AP-2 supports SBP. </w:t>
      </w:r>
      <w:r w:rsidR="00E11D34">
        <w:t xml:space="preserve">STA-5 can’t connect to AP-2 directly (e.g., out of range, or operating in different frequency band etc.). </w:t>
      </w:r>
    </w:p>
    <w:p w14:paraId="57C9311B" w14:textId="764950A8" w:rsidR="00653EB9" w:rsidRPr="00653EB9" w:rsidRDefault="00E11D34">
      <w:pPr>
        <w:jc w:val="left"/>
      </w:pPr>
      <w:r>
        <w:t xml:space="preserve">Q: </w:t>
      </w:r>
      <w:r w:rsidR="00653EB9">
        <w:t xml:space="preserve">Can SBP be extended </w:t>
      </w:r>
      <w:r w:rsidR="00056D49">
        <w:t>such that STA-5 can perform sensing measurements with STA-6, STA-7?</w:t>
      </w:r>
    </w:p>
    <w:p w14:paraId="7909495A" w14:textId="77777777" w:rsidR="00653EB9" w:rsidRDefault="00653EB9">
      <w:pPr>
        <w:jc w:val="left"/>
        <w:rPr>
          <w:u w:val="single"/>
        </w:rPr>
      </w:pPr>
    </w:p>
    <w:p w14:paraId="7AD6DE9A" w14:textId="5E311E6D" w:rsidR="004375E8" w:rsidRDefault="004375E8">
      <w:pPr>
        <w:jc w:val="left"/>
      </w:pPr>
      <w:r>
        <w:rPr>
          <w:u w:val="single"/>
        </w:rPr>
        <w:t>Proposal:</w:t>
      </w:r>
    </w:p>
    <w:p w14:paraId="1D6923C0" w14:textId="77777777" w:rsidR="004375E8" w:rsidRPr="004375E8" w:rsidRDefault="004375E8">
      <w:pPr>
        <w:jc w:val="left"/>
      </w:pPr>
    </w:p>
    <w:p w14:paraId="612402C5" w14:textId="7FF14714" w:rsidR="00275B74" w:rsidRDefault="008D0F2A">
      <w:pPr>
        <w:jc w:val="left"/>
      </w:pPr>
      <w:r>
        <w:t xml:space="preserve">SBP frames are encapsulated in Data frame (e.g., </w:t>
      </w:r>
      <w:proofErr w:type="spellStart"/>
      <w:r>
        <w:t>Ethertype</w:t>
      </w:r>
      <w:proofErr w:type="spellEnd"/>
      <w:r>
        <w:t xml:space="preserve"> 89-0d frame):</w:t>
      </w:r>
    </w:p>
    <w:p w14:paraId="41D44802" w14:textId="77777777" w:rsidR="00DA3633" w:rsidRDefault="00DA3633">
      <w:pPr>
        <w:jc w:val="left"/>
      </w:pPr>
    </w:p>
    <w:p w14:paraId="4B2CA62F" w14:textId="77777777" w:rsidR="008D0F2A" w:rsidRDefault="008D0F2A">
      <w:pPr>
        <w:jc w:val="left"/>
        <w:rPr>
          <w:u w:val="single"/>
        </w:rPr>
      </w:pPr>
      <w:r>
        <w:rPr>
          <w:noProof/>
        </w:rPr>
        <w:drawing>
          <wp:inline distT="0" distB="0" distL="0" distR="0" wp14:anchorId="0F416480" wp14:editId="7427964B">
            <wp:extent cx="5943600" cy="2627630"/>
            <wp:effectExtent l="0" t="0" r="0" b="12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5943600" cy="2627630"/>
                    </a:xfrm>
                    <a:prstGeom prst="rect">
                      <a:avLst/>
                    </a:prstGeom>
                  </pic:spPr>
                </pic:pic>
              </a:graphicData>
            </a:graphic>
          </wp:inline>
        </w:drawing>
      </w:r>
    </w:p>
    <w:p w14:paraId="3DEC1503" w14:textId="77777777" w:rsidR="008D0F2A" w:rsidRDefault="008D0F2A">
      <w:pPr>
        <w:jc w:val="left"/>
        <w:rPr>
          <w:u w:val="single"/>
        </w:rPr>
      </w:pPr>
    </w:p>
    <w:p w14:paraId="43F1474A" w14:textId="7DF1C417" w:rsidR="00BE186A" w:rsidRDefault="008D0F2A">
      <w:pPr>
        <w:jc w:val="left"/>
      </w:pPr>
      <w:r w:rsidRPr="008D0F2A">
        <w:t>A</w:t>
      </w:r>
      <w:r>
        <w:t xml:space="preserve"> new </w:t>
      </w:r>
      <w:proofErr w:type="spellStart"/>
      <w:r>
        <w:t>Ethertype</w:t>
      </w:r>
      <w:proofErr w:type="spellEnd"/>
      <w:r>
        <w:t xml:space="preserve"> 89-0d payload type is defined for SBP.</w:t>
      </w:r>
      <w:r w:rsidR="004C7358">
        <w:t xml:space="preserve"> The Payload field carries the frame body of the SBP frame. This enables the SBP frames to be forwarded between AP-1 and AP-2.</w:t>
      </w:r>
      <w:r w:rsidR="00BE186A">
        <w:t xml:space="preserve"> </w:t>
      </w:r>
      <w:r w:rsidR="00BE186A" w:rsidRPr="00C262FA">
        <w:rPr>
          <w:b/>
          <w:bCs/>
        </w:rPr>
        <w:t>AP-2 acts as the SBP Responder.</w:t>
      </w:r>
    </w:p>
    <w:p w14:paraId="709079D2" w14:textId="77777777" w:rsidR="00BE186A" w:rsidRDefault="00BE186A">
      <w:pPr>
        <w:jc w:val="left"/>
      </w:pPr>
    </w:p>
    <w:p w14:paraId="685A545F" w14:textId="54C2EE65" w:rsidR="00652CC1" w:rsidRPr="008D0F2A" w:rsidRDefault="00652CC1">
      <w:pPr>
        <w:jc w:val="left"/>
      </w:pPr>
      <w:r w:rsidRPr="008D0F2A">
        <w:br w:type="page"/>
      </w:r>
      <w:r w:rsidR="00BE186A" w:rsidRPr="00BE186A">
        <w:rPr>
          <w:noProof/>
        </w:rPr>
        <w:lastRenderedPageBreak/>
        <w:drawing>
          <wp:inline distT="0" distB="0" distL="0" distR="0" wp14:anchorId="554072E7" wp14:editId="2484FC6F">
            <wp:extent cx="4800600" cy="2809875"/>
            <wp:effectExtent l="0" t="0" r="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a:stretch>
                      <a:fillRect/>
                    </a:stretch>
                  </pic:blipFill>
                  <pic:spPr>
                    <a:xfrm>
                      <a:off x="0" y="0"/>
                      <a:ext cx="4800600" cy="2809875"/>
                    </a:xfrm>
                    <a:prstGeom prst="rect">
                      <a:avLst/>
                    </a:prstGeom>
                  </pic:spPr>
                </pic:pic>
              </a:graphicData>
            </a:graphic>
          </wp:inline>
        </w:drawing>
      </w:r>
    </w:p>
    <w:p w14:paraId="56F1803D" w14:textId="77777777" w:rsidR="00BE186A" w:rsidRDefault="00BE186A">
      <w:pPr>
        <w:jc w:val="left"/>
        <w:rPr>
          <w:u w:val="single"/>
        </w:rPr>
      </w:pPr>
      <w:r>
        <w:rPr>
          <w:u w:val="single"/>
        </w:rPr>
        <w:br w:type="page"/>
      </w:r>
    </w:p>
    <w:p w14:paraId="108FFACD" w14:textId="19330FCA" w:rsidR="00275B74" w:rsidRDefault="004375E8">
      <w:pPr>
        <w:jc w:val="left"/>
      </w:pPr>
      <w:r w:rsidRPr="004375E8">
        <w:rPr>
          <w:u w:val="single"/>
        </w:rPr>
        <w:lastRenderedPageBreak/>
        <w:t>CID 302</w:t>
      </w:r>
      <w:r>
        <w:t>:</w:t>
      </w:r>
      <w:r w:rsidRPr="004375E8">
        <w:t xml:space="preserve"> When a sensing measurement setup is being performed as part of a SBP procedure, the sensing responder may need to verify the identity of the SBP Initiator to decide whether or not to accept the sensing measurement setup request. As such, the Sensing Measurement Setup Request frame should carry the ID of the SBP Initiator.</w:t>
      </w:r>
    </w:p>
    <w:p w14:paraId="50E1FEAE" w14:textId="08F42830" w:rsidR="004375E8" w:rsidRDefault="004375E8">
      <w:pPr>
        <w:jc w:val="left"/>
      </w:pPr>
    </w:p>
    <w:p w14:paraId="19B67E26" w14:textId="255E1D23" w:rsidR="004375E8" w:rsidRDefault="004375E8">
      <w:pPr>
        <w:jc w:val="left"/>
      </w:pPr>
    </w:p>
    <w:p w14:paraId="2690915F" w14:textId="60D4E45B" w:rsidR="00171E22" w:rsidRDefault="00171E22" w:rsidP="00171E22">
      <w:pPr>
        <w:jc w:val="center"/>
      </w:pPr>
      <w:r w:rsidRPr="00171E22">
        <w:rPr>
          <w:noProof/>
        </w:rPr>
        <w:drawing>
          <wp:inline distT="0" distB="0" distL="0" distR="0" wp14:anchorId="173B78FF" wp14:editId="0372A948">
            <wp:extent cx="3172460" cy="17176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460" cy="1717675"/>
                    </a:xfrm>
                    <a:prstGeom prst="rect">
                      <a:avLst/>
                    </a:prstGeom>
                    <a:noFill/>
                    <a:ln>
                      <a:noFill/>
                    </a:ln>
                  </pic:spPr>
                </pic:pic>
              </a:graphicData>
            </a:graphic>
          </wp:inline>
        </w:drawing>
      </w:r>
    </w:p>
    <w:p w14:paraId="2831E2FC" w14:textId="1CDDA794" w:rsidR="00171E22" w:rsidRDefault="00171E22">
      <w:pPr>
        <w:jc w:val="left"/>
      </w:pPr>
    </w:p>
    <w:p w14:paraId="062CBFD5" w14:textId="1F4FE16F" w:rsidR="00171E22" w:rsidRDefault="00171E22" w:rsidP="00171E22">
      <w:pPr>
        <w:jc w:val="left"/>
      </w:pPr>
      <w:r>
        <w:t>Example</w:t>
      </w:r>
      <w:r w:rsidRPr="00653EB9">
        <w:t>:</w:t>
      </w:r>
      <w:r>
        <w:t xml:space="preserve"> AP-1 initiates sensing measurement setup requests with STA-6 upon receiving SBP Request from STA-5.</w:t>
      </w:r>
    </w:p>
    <w:p w14:paraId="7DC80D9D" w14:textId="4FB0A7F8" w:rsidR="00171E22" w:rsidRPr="00653EB9" w:rsidRDefault="00171E22" w:rsidP="00171E22">
      <w:pPr>
        <w:jc w:val="left"/>
      </w:pPr>
      <w:r>
        <w:t>Q: Should STA-6 be able to know that the sensing measurement setup request is for SBP and can it verify</w:t>
      </w:r>
      <w:r w:rsidR="00B434C7">
        <w:t xml:space="preserve"> the identity of the SBP Initiator (STA-5)</w:t>
      </w:r>
      <w:r>
        <w:t>?</w:t>
      </w:r>
    </w:p>
    <w:p w14:paraId="7E729DEC" w14:textId="77777777" w:rsidR="00171E22" w:rsidRDefault="00171E22">
      <w:pPr>
        <w:jc w:val="left"/>
      </w:pPr>
    </w:p>
    <w:p w14:paraId="6339FD84" w14:textId="77777777" w:rsidR="004375E8" w:rsidRDefault="004375E8" w:rsidP="004375E8">
      <w:pPr>
        <w:jc w:val="left"/>
      </w:pPr>
      <w:r>
        <w:rPr>
          <w:u w:val="single"/>
        </w:rPr>
        <w:t>Proposal:</w:t>
      </w:r>
    </w:p>
    <w:p w14:paraId="42BF8EB0" w14:textId="77777777" w:rsidR="004375E8" w:rsidRPr="004375E8" w:rsidRDefault="004375E8" w:rsidP="004375E8">
      <w:pPr>
        <w:jc w:val="left"/>
      </w:pPr>
    </w:p>
    <w:p w14:paraId="78454856" w14:textId="6A641636" w:rsidR="00933B95" w:rsidRDefault="00965125">
      <w:pPr>
        <w:jc w:val="left"/>
      </w:pPr>
      <w:r>
        <w:t>When the Sensing Measurement Setup is performed for SBP, the Sensing Measurement Setup Request frame carries indication that the setup is a part of SBP and also includes the ID (e.g., MAC Address) of the SBP Initiator.</w:t>
      </w:r>
      <w:r w:rsidR="00097972">
        <w:t xml:space="preserve"> The responding STA may use the ID of the SBP Initiator to decide whether it accepts the Sensing Measurement Setup Request or not.</w:t>
      </w:r>
    </w:p>
    <w:p w14:paraId="502D006D" w14:textId="77777777" w:rsidR="00965125" w:rsidRDefault="00965125">
      <w:pPr>
        <w:jc w:val="left"/>
      </w:pPr>
    </w:p>
    <w:p w14:paraId="4721DDF7" w14:textId="77777777" w:rsidR="00652CC1" w:rsidRDefault="00652CC1">
      <w:pPr>
        <w:jc w:val="left"/>
        <w:rPr>
          <w:u w:val="single"/>
        </w:rPr>
      </w:pPr>
      <w:r>
        <w:rPr>
          <w:u w:val="single"/>
        </w:rPr>
        <w:br w:type="page"/>
      </w:r>
    </w:p>
    <w:p w14:paraId="06D38659" w14:textId="6C63AE47" w:rsidR="004375E8" w:rsidRDefault="004375E8" w:rsidP="004375E8">
      <w:pPr>
        <w:jc w:val="left"/>
      </w:pPr>
      <w:r w:rsidRPr="004375E8">
        <w:rPr>
          <w:u w:val="single"/>
        </w:rPr>
        <w:lastRenderedPageBreak/>
        <w:t>CID 3</w:t>
      </w:r>
      <w:r>
        <w:rPr>
          <w:u w:val="single"/>
        </w:rPr>
        <w:t>20</w:t>
      </w:r>
      <w:r>
        <w:t>:</w:t>
      </w:r>
      <w:r w:rsidRPr="004375E8">
        <w:t xml:space="preserve"> Since an AP would have better information of the potential sensing responders in its BSS, an SBP Initiator would greatly benefit from being able to access such information (e.g., supported features, locations, link metrices etc.) from the AP. While the topic was discussed in 11bf in the past, it was not followed up in enough details citing security concerns. This proposal has merit even beyond sensing and should be given due consideration.</w:t>
      </w:r>
    </w:p>
    <w:p w14:paraId="3B768858" w14:textId="06BAD46E" w:rsidR="00933B95" w:rsidRDefault="00933B95">
      <w:pPr>
        <w:jc w:val="left"/>
      </w:pPr>
    </w:p>
    <w:p w14:paraId="487426C6" w14:textId="130DD7CE" w:rsidR="004375E8" w:rsidRDefault="007C7846" w:rsidP="007C7846">
      <w:pPr>
        <w:jc w:val="center"/>
      </w:pPr>
      <w:r w:rsidRPr="00171E22">
        <w:rPr>
          <w:noProof/>
        </w:rPr>
        <w:drawing>
          <wp:inline distT="0" distB="0" distL="0" distR="0" wp14:anchorId="151CB050" wp14:editId="08A4A291">
            <wp:extent cx="3172460" cy="17176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460" cy="1717675"/>
                    </a:xfrm>
                    <a:prstGeom prst="rect">
                      <a:avLst/>
                    </a:prstGeom>
                    <a:noFill/>
                    <a:ln>
                      <a:noFill/>
                    </a:ln>
                  </pic:spPr>
                </pic:pic>
              </a:graphicData>
            </a:graphic>
          </wp:inline>
        </w:drawing>
      </w:r>
    </w:p>
    <w:p w14:paraId="5F52D08D" w14:textId="77777777" w:rsidR="007C7846" w:rsidRDefault="007C7846" w:rsidP="004375E8">
      <w:pPr>
        <w:jc w:val="left"/>
        <w:rPr>
          <w:u w:val="single"/>
        </w:rPr>
      </w:pPr>
    </w:p>
    <w:p w14:paraId="2DC5E769" w14:textId="0BFF21D9" w:rsidR="007C7846" w:rsidRDefault="007C7846" w:rsidP="004375E8">
      <w:pPr>
        <w:jc w:val="left"/>
        <w:rPr>
          <w:u w:val="single"/>
        </w:rPr>
      </w:pPr>
    </w:p>
    <w:p w14:paraId="55C23814" w14:textId="3043E316" w:rsidR="000E7DD7" w:rsidRPr="000E7DD7" w:rsidRDefault="000E7DD7" w:rsidP="004375E8">
      <w:pPr>
        <w:jc w:val="left"/>
      </w:pPr>
      <w:r>
        <w:t>An SBP Initiator can specify the addresses/IDs of the Sensing Responders in the SBP Request frame. However, there currently there is no mechanism for the SBP Initiator</w:t>
      </w:r>
      <w:r w:rsidR="00AC17FA">
        <w:t xml:space="preserve"> to obtain such information from the AP.</w:t>
      </w:r>
    </w:p>
    <w:p w14:paraId="69D42E3F" w14:textId="77777777" w:rsidR="000E7DD7" w:rsidRDefault="000E7DD7" w:rsidP="004375E8">
      <w:pPr>
        <w:jc w:val="left"/>
        <w:rPr>
          <w:u w:val="single"/>
        </w:rPr>
      </w:pPr>
    </w:p>
    <w:p w14:paraId="15EB28E1" w14:textId="4E546AAD" w:rsidR="007C7846" w:rsidRDefault="007C7846" w:rsidP="007C7846">
      <w:pPr>
        <w:jc w:val="center"/>
        <w:rPr>
          <w:u w:val="single"/>
        </w:rPr>
      </w:pPr>
      <w:r>
        <w:rPr>
          <w:noProof/>
        </w:rPr>
        <w:drawing>
          <wp:inline distT="0" distB="0" distL="0" distR="0" wp14:anchorId="178D4146" wp14:editId="2BD312B9">
            <wp:extent cx="4611756" cy="3320858"/>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2"/>
                    <a:stretch>
                      <a:fillRect/>
                    </a:stretch>
                  </pic:blipFill>
                  <pic:spPr>
                    <a:xfrm>
                      <a:off x="0" y="0"/>
                      <a:ext cx="4619099" cy="3326146"/>
                    </a:xfrm>
                    <a:prstGeom prst="rect">
                      <a:avLst/>
                    </a:prstGeom>
                  </pic:spPr>
                </pic:pic>
              </a:graphicData>
            </a:graphic>
          </wp:inline>
        </w:drawing>
      </w:r>
    </w:p>
    <w:p w14:paraId="7F68F48B" w14:textId="787A7792" w:rsidR="007C7846" w:rsidRDefault="007C7846" w:rsidP="004375E8">
      <w:pPr>
        <w:jc w:val="left"/>
        <w:rPr>
          <w:u w:val="single"/>
        </w:rPr>
      </w:pPr>
    </w:p>
    <w:p w14:paraId="0D4A1EA4" w14:textId="6F864421" w:rsidR="007C7846" w:rsidRDefault="007C7846" w:rsidP="004375E8">
      <w:pPr>
        <w:jc w:val="left"/>
        <w:rPr>
          <w:u w:val="single"/>
        </w:rPr>
      </w:pPr>
    </w:p>
    <w:p w14:paraId="0CF09BEE" w14:textId="77777777" w:rsidR="007C7846" w:rsidRDefault="007C7846" w:rsidP="004375E8">
      <w:pPr>
        <w:jc w:val="left"/>
        <w:rPr>
          <w:u w:val="single"/>
        </w:rPr>
      </w:pPr>
    </w:p>
    <w:p w14:paraId="0090CA86" w14:textId="1C4B7599" w:rsidR="004375E8" w:rsidRDefault="004375E8" w:rsidP="004375E8">
      <w:pPr>
        <w:jc w:val="left"/>
      </w:pPr>
      <w:r>
        <w:rPr>
          <w:u w:val="single"/>
        </w:rPr>
        <w:t>Proposal:</w:t>
      </w:r>
    </w:p>
    <w:p w14:paraId="4DB62FC6" w14:textId="77777777" w:rsidR="004375E8" w:rsidRPr="004375E8" w:rsidRDefault="004375E8" w:rsidP="004375E8">
      <w:pPr>
        <w:jc w:val="left"/>
      </w:pPr>
    </w:p>
    <w:p w14:paraId="4D920BE8" w14:textId="77777777" w:rsidR="00AC17FA" w:rsidRDefault="00AC17FA" w:rsidP="00933B95">
      <w:pPr>
        <w:jc w:val="left"/>
      </w:pPr>
      <w:r>
        <w:t>Allow a non-AP STA (SBP Initiator) to solicit information of an AP’s associated non-AP STAs from an AP.</w:t>
      </w:r>
    </w:p>
    <w:p w14:paraId="7CBAF2FF" w14:textId="77777777" w:rsidR="00AC17FA" w:rsidRDefault="00AC17FA" w:rsidP="00933B95">
      <w:pPr>
        <w:jc w:val="left"/>
      </w:pPr>
    </w:p>
    <w:p w14:paraId="1962D38A" w14:textId="241838CD" w:rsidR="00933B95" w:rsidRDefault="00AC17FA" w:rsidP="00933B95">
      <w:pPr>
        <w:jc w:val="left"/>
      </w:pPr>
      <w:r>
        <w:t xml:space="preserve">A new Action frame (e.g., Client Discovery Query) is proposed for the SBP Initiator to </w:t>
      </w:r>
      <w:proofErr w:type="spellStart"/>
      <w:r>
        <w:t>to</w:t>
      </w:r>
      <w:proofErr w:type="spellEnd"/>
      <w:r>
        <w:t xml:space="preserve"> </w:t>
      </w:r>
      <w:proofErr w:type="spellStart"/>
      <w:r>
        <w:t>soliciti</w:t>
      </w:r>
      <w:proofErr w:type="spellEnd"/>
      <w:r>
        <w:t xml:space="preserve"> MAC Address, Operating bandwidth of non-AP STAs that support 11bf:</w:t>
      </w:r>
    </w:p>
    <w:p w14:paraId="18103D1B" w14:textId="5AEF0DCD" w:rsidR="00AB7EC1" w:rsidRDefault="00AC17FA" w:rsidP="00933B95">
      <w:pPr>
        <w:jc w:val="left"/>
      </w:pPr>
      <w:r>
        <w:rPr>
          <w:noProof/>
        </w:rPr>
        <w:lastRenderedPageBreak/>
        <w:drawing>
          <wp:inline distT="0" distB="0" distL="0" distR="0" wp14:anchorId="13CDDE2A" wp14:editId="7A0E9A90">
            <wp:extent cx="2689860" cy="78507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3"/>
                    <a:stretch>
                      <a:fillRect/>
                    </a:stretch>
                  </pic:blipFill>
                  <pic:spPr>
                    <a:xfrm>
                      <a:off x="0" y="0"/>
                      <a:ext cx="2706009" cy="789792"/>
                    </a:xfrm>
                    <a:prstGeom prst="rect">
                      <a:avLst/>
                    </a:prstGeom>
                  </pic:spPr>
                </pic:pic>
              </a:graphicData>
            </a:graphic>
          </wp:inline>
        </w:drawing>
      </w:r>
    </w:p>
    <w:p w14:paraId="1FF15BF3" w14:textId="77777777" w:rsidR="00AC17FA" w:rsidRDefault="00AC17FA" w:rsidP="00933B95">
      <w:pPr>
        <w:jc w:val="left"/>
      </w:pPr>
    </w:p>
    <w:p w14:paraId="6A4294B8" w14:textId="761E67CE" w:rsidR="00AC17FA" w:rsidRDefault="00AC17FA">
      <w:pPr>
        <w:jc w:val="left"/>
      </w:pPr>
      <w:r>
        <w:t>The AP (SBP Responder) responds with the Client Discovery Response frame that carries the relevant information (e.g., MAC Address, Operating bandwidth) of its associated non-AP STAs.</w:t>
      </w:r>
    </w:p>
    <w:p w14:paraId="7F6A8190" w14:textId="77777777" w:rsidR="00AC17FA" w:rsidRDefault="00AC17FA">
      <w:pPr>
        <w:jc w:val="left"/>
      </w:pPr>
    </w:p>
    <w:p w14:paraId="719820A1" w14:textId="77777777" w:rsidR="00767530" w:rsidRDefault="00AC17FA">
      <w:pPr>
        <w:jc w:val="left"/>
      </w:pPr>
      <w:r>
        <w:rPr>
          <w:noProof/>
        </w:rPr>
        <w:drawing>
          <wp:inline distT="0" distB="0" distL="0" distR="0" wp14:anchorId="222A1D47" wp14:editId="30F6F70D">
            <wp:extent cx="5943600" cy="2913380"/>
            <wp:effectExtent l="0" t="0" r="0" b="127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4"/>
                    <a:stretch>
                      <a:fillRect/>
                    </a:stretch>
                  </pic:blipFill>
                  <pic:spPr>
                    <a:xfrm>
                      <a:off x="0" y="0"/>
                      <a:ext cx="5943600" cy="2913380"/>
                    </a:xfrm>
                    <a:prstGeom prst="rect">
                      <a:avLst/>
                    </a:prstGeom>
                  </pic:spPr>
                </pic:pic>
              </a:graphicData>
            </a:graphic>
          </wp:inline>
        </w:drawing>
      </w:r>
    </w:p>
    <w:p w14:paraId="5AF3925B" w14:textId="77777777" w:rsidR="00767530" w:rsidRDefault="00767530">
      <w:pPr>
        <w:jc w:val="left"/>
      </w:pPr>
    </w:p>
    <w:p w14:paraId="47E43221" w14:textId="6B5B54FF" w:rsidR="008007A8" w:rsidRPr="003076DB" w:rsidRDefault="00767530" w:rsidP="00AB7EC1">
      <w:pPr>
        <w:jc w:val="left"/>
      </w:pPr>
      <w:r>
        <w:t>The SBP Initiator uses the information to select Sensing Responders for the SBP procedure.</w:t>
      </w:r>
      <w:bookmarkEnd w:id="1"/>
    </w:p>
    <w:sectPr w:rsidR="008007A8" w:rsidRPr="003076DB" w:rsidSect="00F04FA0">
      <w:headerReference w:type="default" r:id="rId15"/>
      <w:footerReference w:type="default" r:id="rId1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0E84" w14:textId="77777777" w:rsidR="00802529" w:rsidRDefault="00802529">
      <w:r>
        <w:separator/>
      </w:r>
    </w:p>
  </w:endnote>
  <w:endnote w:type="continuationSeparator" w:id="0">
    <w:p w14:paraId="4A844B80" w14:textId="77777777" w:rsidR="00802529" w:rsidRDefault="0080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6B4E32">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7BB4" w14:textId="77777777" w:rsidR="00802529" w:rsidRDefault="00802529">
      <w:r>
        <w:separator/>
      </w:r>
    </w:p>
  </w:footnote>
  <w:footnote w:type="continuationSeparator" w:id="0">
    <w:p w14:paraId="0E5DD7AC" w14:textId="77777777" w:rsidR="00802529" w:rsidRDefault="0080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5529F85E" w:rsidR="005B7ADB" w:rsidRDefault="00E928A4">
    <w:pPr>
      <w:pStyle w:val="Header"/>
      <w:tabs>
        <w:tab w:val="clear" w:pos="6480"/>
        <w:tab w:val="center" w:pos="4680"/>
        <w:tab w:val="right" w:pos="9360"/>
      </w:tabs>
      <w:rPr>
        <w:lang w:eastAsia="zh-CN"/>
      </w:rPr>
    </w:pPr>
    <w:r>
      <w:t>October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EndPr/>
      <w:sdtContent>
        <w:r w:rsidR="00481216">
          <w:t>IEEE 11-22-1783r0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1"/>
  </w:num>
  <w:num w:numId="3" w16cid:durableId="1113596966">
    <w:abstractNumId w:val="2"/>
  </w:num>
  <w:num w:numId="4" w16cid:durableId="91065326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2FF9"/>
    <w:rsid w:val="00054058"/>
    <w:rsid w:val="00055348"/>
    <w:rsid w:val="00055A59"/>
    <w:rsid w:val="00056D4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72"/>
    <w:rsid w:val="000979D0"/>
    <w:rsid w:val="000A3A66"/>
    <w:rsid w:val="000A4683"/>
    <w:rsid w:val="000A6B90"/>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5C70"/>
    <w:rsid w:val="000E0CE9"/>
    <w:rsid w:val="000E2CA6"/>
    <w:rsid w:val="000E3163"/>
    <w:rsid w:val="000E365B"/>
    <w:rsid w:val="000E36C2"/>
    <w:rsid w:val="000E4DD1"/>
    <w:rsid w:val="000E7DD7"/>
    <w:rsid w:val="000F09C1"/>
    <w:rsid w:val="000F3FBA"/>
    <w:rsid w:val="000F5F2B"/>
    <w:rsid w:val="000F630D"/>
    <w:rsid w:val="000F67D0"/>
    <w:rsid w:val="000F6CED"/>
    <w:rsid w:val="000F7838"/>
    <w:rsid w:val="000F7A21"/>
    <w:rsid w:val="000F7EC8"/>
    <w:rsid w:val="00101596"/>
    <w:rsid w:val="001015C8"/>
    <w:rsid w:val="00102398"/>
    <w:rsid w:val="0010281E"/>
    <w:rsid w:val="0010363F"/>
    <w:rsid w:val="001050F9"/>
    <w:rsid w:val="0010567A"/>
    <w:rsid w:val="00106168"/>
    <w:rsid w:val="001072C2"/>
    <w:rsid w:val="00110B78"/>
    <w:rsid w:val="00111307"/>
    <w:rsid w:val="00111F98"/>
    <w:rsid w:val="001135E1"/>
    <w:rsid w:val="00113A3F"/>
    <w:rsid w:val="00116D9E"/>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9B2"/>
    <w:rsid w:val="00170A3C"/>
    <w:rsid w:val="0017130C"/>
    <w:rsid w:val="00171E22"/>
    <w:rsid w:val="00172F06"/>
    <w:rsid w:val="00173E5E"/>
    <w:rsid w:val="0017432E"/>
    <w:rsid w:val="001747DB"/>
    <w:rsid w:val="00174B30"/>
    <w:rsid w:val="00175AE3"/>
    <w:rsid w:val="00176EDE"/>
    <w:rsid w:val="00177068"/>
    <w:rsid w:val="00184E0C"/>
    <w:rsid w:val="00184E39"/>
    <w:rsid w:val="00185986"/>
    <w:rsid w:val="0019012B"/>
    <w:rsid w:val="001911EC"/>
    <w:rsid w:val="0019150D"/>
    <w:rsid w:val="00191A34"/>
    <w:rsid w:val="00191B16"/>
    <w:rsid w:val="00192A58"/>
    <w:rsid w:val="00192A5B"/>
    <w:rsid w:val="00192BD2"/>
    <w:rsid w:val="00195EBE"/>
    <w:rsid w:val="00197592"/>
    <w:rsid w:val="001A0F38"/>
    <w:rsid w:val="001A11AD"/>
    <w:rsid w:val="001A209B"/>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2C0E"/>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1049"/>
    <w:rsid w:val="002026B1"/>
    <w:rsid w:val="002060CE"/>
    <w:rsid w:val="0020642D"/>
    <w:rsid w:val="00206617"/>
    <w:rsid w:val="002071F4"/>
    <w:rsid w:val="00210200"/>
    <w:rsid w:val="00210E83"/>
    <w:rsid w:val="00211031"/>
    <w:rsid w:val="00212A9C"/>
    <w:rsid w:val="0021479B"/>
    <w:rsid w:val="00214C19"/>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B84"/>
    <w:rsid w:val="00264EFE"/>
    <w:rsid w:val="002667D6"/>
    <w:rsid w:val="00266D8A"/>
    <w:rsid w:val="00266F7D"/>
    <w:rsid w:val="002677DF"/>
    <w:rsid w:val="00270FDC"/>
    <w:rsid w:val="002718E6"/>
    <w:rsid w:val="002727FA"/>
    <w:rsid w:val="00273181"/>
    <w:rsid w:val="00273983"/>
    <w:rsid w:val="00275163"/>
    <w:rsid w:val="00275B74"/>
    <w:rsid w:val="00275F48"/>
    <w:rsid w:val="00276202"/>
    <w:rsid w:val="002807E9"/>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97880"/>
    <w:rsid w:val="002A0593"/>
    <w:rsid w:val="002A0C93"/>
    <w:rsid w:val="002A3512"/>
    <w:rsid w:val="002A3868"/>
    <w:rsid w:val="002A390D"/>
    <w:rsid w:val="002A4A5B"/>
    <w:rsid w:val="002B36AF"/>
    <w:rsid w:val="002B3890"/>
    <w:rsid w:val="002B436C"/>
    <w:rsid w:val="002B6510"/>
    <w:rsid w:val="002B7268"/>
    <w:rsid w:val="002C3043"/>
    <w:rsid w:val="002C4259"/>
    <w:rsid w:val="002C4346"/>
    <w:rsid w:val="002C5F1C"/>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42D9"/>
    <w:rsid w:val="002F493B"/>
    <w:rsid w:val="002F5969"/>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076DB"/>
    <w:rsid w:val="003102D7"/>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1570"/>
    <w:rsid w:val="00331E45"/>
    <w:rsid w:val="0033263A"/>
    <w:rsid w:val="00332E4A"/>
    <w:rsid w:val="0033321B"/>
    <w:rsid w:val="003333DD"/>
    <w:rsid w:val="00333DDF"/>
    <w:rsid w:val="00334998"/>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313C"/>
    <w:rsid w:val="00374F67"/>
    <w:rsid w:val="00375D98"/>
    <w:rsid w:val="00376C9F"/>
    <w:rsid w:val="0038054B"/>
    <w:rsid w:val="00380723"/>
    <w:rsid w:val="00381243"/>
    <w:rsid w:val="0038228A"/>
    <w:rsid w:val="003837F2"/>
    <w:rsid w:val="00384647"/>
    <w:rsid w:val="00386264"/>
    <w:rsid w:val="00390150"/>
    <w:rsid w:val="0039193E"/>
    <w:rsid w:val="00392440"/>
    <w:rsid w:val="003929FD"/>
    <w:rsid w:val="00392A0A"/>
    <w:rsid w:val="0039658D"/>
    <w:rsid w:val="00397A0B"/>
    <w:rsid w:val="00397F99"/>
    <w:rsid w:val="003A0901"/>
    <w:rsid w:val="003A0A25"/>
    <w:rsid w:val="003A1172"/>
    <w:rsid w:val="003A299D"/>
    <w:rsid w:val="003A60F7"/>
    <w:rsid w:val="003A6FFB"/>
    <w:rsid w:val="003B051C"/>
    <w:rsid w:val="003B3DC1"/>
    <w:rsid w:val="003B3F9D"/>
    <w:rsid w:val="003B4470"/>
    <w:rsid w:val="003B529B"/>
    <w:rsid w:val="003B6A8E"/>
    <w:rsid w:val="003C06E2"/>
    <w:rsid w:val="003C0B0B"/>
    <w:rsid w:val="003C1C1D"/>
    <w:rsid w:val="003C2509"/>
    <w:rsid w:val="003C33FC"/>
    <w:rsid w:val="003C5148"/>
    <w:rsid w:val="003C61A5"/>
    <w:rsid w:val="003C6D4E"/>
    <w:rsid w:val="003D1229"/>
    <w:rsid w:val="003D2692"/>
    <w:rsid w:val="003D301E"/>
    <w:rsid w:val="003D48A7"/>
    <w:rsid w:val="003D5CB0"/>
    <w:rsid w:val="003D5F89"/>
    <w:rsid w:val="003D6CE8"/>
    <w:rsid w:val="003D78AF"/>
    <w:rsid w:val="003E013D"/>
    <w:rsid w:val="003E0D81"/>
    <w:rsid w:val="003E1DA1"/>
    <w:rsid w:val="003E4321"/>
    <w:rsid w:val="003E6F16"/>
    <w:rsid w:val="003E7FA7"/>
    <w:rsid w:val="003F074F"/>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375E8"/>
    <w:rsid w:val="004406EA"/>
    <w:rsid w:val="004409CE"/>
    <w:rsid w:val="00440C98"/>
    <w:rsid w:val="00441C91"/>
    <w:rsid w:val="00442037"/>
    <w:rsid w:val="0044391A"/>
    <w:rsid w:val="00443B20"/>
    <w:rsid w:val="00444301"/>
    <w:rsid w:val="0044570A"/>
    <w:rsid w:val="00451293"/>
    <w:rsid w:val="00451CDF"/>
    <w:rsid w:val="004520F0"/>
    <w:rsid w:val="004527C8"/>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0BDA"/>
    <w:rsid w:val="004714A1"/>
    <w:rsid w:val="00473ED6"/>
    <w:rsid w:val="00474174"/>
    <w:rsid w:val="00474AE0"/>
    <w:rsid w:val="004754AC"/>
    <w:rsid w:val="00480FA0"/>
    <w:rsid w:val="00481216"/>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5D8"/>
    <w:rsid w:val="004C1C53"/>
    <w:rsid w:val="004C2573"/>
    <w:rsid w:val="004C51D1"/>
    <w:rsid w:val="004C670C"/>
    <w:rsid w:val="004C7358"/>
    <w:rsid w:val="004C738B"/>
    <w:rsid w:val="004D0485"/>
    <w:rsid w:val="004D3B3F"/>
    <w:rsid w:val="004D455F"/>
    <w:rsid w:val="004D4D80"/>
    <w:rsid w:val="004D5EBB"/>
    <w:rsid w:val="004D6850"/>
    <w:rsid w:val="004E0917"/>
    <w:rsid w:val="004E113D"/>
    <w:rsid w:val="004E13CF"/>
    <w:rsid w:val="004E228E"/>
    <w:rsid w:val="004E31BE"/>
    <w:rsid w:val="004E340C"/>
    <w:rsid w:val="004E4E72"/>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6254"/>
    <w:rsid w:val="00576508"/>
    <w:rsid w:val="00576EEC"/>
    <w:rsid w:val="005772B1"/>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D78AA"/>
    <w:rsid w:val="005E0FB2"/>
    <w:rsid w:val="005E1223"/>
    <w:rsid w:val="005E5272"/>
    <w:rsid w:val="005E77EC"/>
    <w:rsid w:val="005F3BED"/>
    <w:rsid w:val="005F4109"/>
    <w:rsid w:val="005F5B27"/>
    <w:rsid w:val="005F7818"/>
    <w:rsid w:val="005F78CA"/>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5E5C"/>
    <w:rsid w:val="0064793A"/>
    <w:rsid w:val="006504E1"/>
    <w:rsid w:val="00652CC1"/>
    <w:rsid w:val="00653EB9"/>
    <w:rsid w:val="0065427E"/>
    <w:rsid w:val="00655721"/>
    <w:rsid w:val="0065589C"/>
    <w:rsid w:val="00655B2D"/>
    <w:rsid w:val="00656607"/>
    <w:rsid w:val="006578D5"/>
    <w:rsid w:val="00660E4B"/>
    <w:rsid w:val="00661C19"/>
    <w:rsid w:val="00661C48"/>
    <w:rsid w:val="0066471B"/>
    <w:rsid w:val="00665646"/>
    <w:rsid w:val="00666951"/>
    <w:rsid w:val="00670853"/>
    <w:rsid w:val="00671962"/>
    <w:rsid w:val="0067208B"/>
    <w:rsid w:val="006723A0"/>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4E32"/>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530"/>
    <w:rsid w:val="007676F9"/>
    <w:rsid w:val="00767AD5"/>
    <w:rsid w:val="00767C0C"/>
    <w:rsid w:val="00770572"/>
    <w:rsid w:val="00774B9A"/>
    <w:rsid w:val="0077520A"/>
    <w:rsid w:val="00775643"/>
    <w:rsid w:val="00776049"/>
    <w:rsid w:val="00776263"/>
    <w:rsid w:val="00776701"/>
    <w:rsid w:val="00776997"/>
    <w:rsid w:val="00783701"/>
    <w:rsid w:val="00783EB5"/>
    <w:rsid w:val="007854DA"/>
    <w:rsid w:val="0078550D"/>
    <w:rsid w:val="0078553D"/>
    <w:rsid w:val="007877D0"/>
    <w:rsid w:val="00787F69"/>
    <w:rsid w:val="0079029E"/>
    <w:rsid w:val="00791E38"/>
    <w:rsid w:val="007931DB"/>
    <w:rsid w:val="007949BA"/>
    <w:rsid w:val="00794D12"/>
    <w:rsid w:val="00796556"/>
    <w:rsid w:val="007A164A"/>
    <w:rsid w:val="007A1C50"/>
    <w:rsid w:val="007A1D20"/>
    <w:rsid w:val="007A272E"/>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C7846"/>
    <w:rsid w:val="007D0235"/>
    <w:rsid w:val="007D0610"/>
    <w:rsid w:val="007D062D"/>
    <w:rsid w:val="007D1689"/>
    <w:rsid w:val="007D2959"/>
    <w:rsid w:val="007D5244"/>
    <w:rsid w:val="007D654F"/>
    <w:rsid w:val="007D70DE"/>
    <w:rsid w:val="007D784F"/>
    <w:rsid w:val="007E0666"/>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A8"/>
    <w:rsid w:val="0080142D"/>
    <w:rsid w:val="00802529"/>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0F2A"/>
    <w:rsid w:val="008D2869"/>
    <w:rsid w:val="008D35CF"/>
    <w:rsid w:val="008D35DE"/>
    <w:rsid w:val="008D5110"/>
    <w:rsid w:val="008D5D3C"/>
    <w:rsid w:val="008D6786"/>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73EC"/>
    <w:rsid w:val="009007DC"/>
    <w:rsid w:val="00905668"/>
    <w:rsid w:val="009058FA"/>
    <w:rsid w:val="00905951"/>
    <w:rsid w:val="009069C1"/>
    <w:rsid w:val="00906C72"/>
    <w:rsid w:val="009110E6"/>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5"/>
    <w:rsid w:val="00933B98"/>
    <w:rsid w:val="00933C84"/>
    <w:rsid w:val="0093524C"/>
    <w:rsid w:val="009352C6"/>
    <w:rsid w:val="009376B5"/>
    <w:rsid w:val="00937DFC"/>
    <w:rsid w:val="0094054D"/>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1CE"/>
    <w:rsid w:val="00964E0D"/>
    <w:rsid w:val="00965125"/>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7F0"/>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466"/>
    <w:rsid w:val="00A06C22"/>
    <w:rsid w:val="00A0761E"/>
    <w:rsid w:val="00A103CD"/>
    <w:rsid w:val="00A12DAD"/>
    <w:rsid w:val="00A13372"/>
    <w:rsid w:val="00A1467B"/>
    <w:rsid w:val="00A15907"/>
    <w:rsid w:val="00A17955"/>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0AD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4D6"/>
    <w:rsid w:val="00AA6C7E"/>
    <w:rsid w:val="00AA7883"/>
    <w:rsid w:val="00AB0ECB"/>
    <w:rsid w:val="00AB44BA"/>
    <w:rsid w:val="00AB5192"/>
    <w:rsid w:val="00AB7C2E"/>
    <w:rsid w:val="00AB7EC1"/>
    <w:rsid w:val="00AC02AB"/>
    <w:rsid w:val="00AC0F42"/>
    <w:rsid w:val="00AC14EC"/>
    <w:rsid w:val="00AC17FA"/>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03"/>
    <w:rsid w:val="00B23316"/>
    <w:rsid w:val="00B24D52"/>
    <w:rsid w:val="00B251C5"/>
    <w:rsid w:val="00B25C5F"/>
    <w:rsid w:val="00B30E2C"/>
    <w:rsid w:val="00B3261E"/>
    <w:rsid w:val="00B32CAF"/>
    <w:rsid w:val="00B32DE6"/>
    <w:rsid w:val="00B3324D"/>
    <w:rsid w:val="00B33917"/>
    <w:rsid w:val="00B33D2B"/>
    <w:rsid w:val="00B35050"/>
    <w:rsid w:val="00B357D8"/>
    <w:rsid w:val="00B35D90"/>
    <w:rsid w:val="00B35DBC"/>
    <w:rsid w:val="00B3606D"/>
    <w:rsid w:val="00B36216"/>
    <w:rsid w:val="00B3779E"/>
    <w:rsid w:val="00B37B67"/>
    <w:rsid w:val="00B41458"/>
    <w:rsid w:val="00B4292D"/>
    <w:rsid w:val="00B42CDC"/>
    <w:rsid w:val="00B434C7"/>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638"/>
    <w:rsid w:val="00B73C7C"/>
    <w:rsid w:val="00B74E25"/>
    <w:rsid w:val="00B77990"/>
    <w:rsid w:val="00B779DA"/>
    <w:rsid w:val="00B77FE4"/>
    <w:rsid w:val="00B80B79"/>
    <w:rsid w:val="00B8437C"/>
    <w:rsid w:val="00B846DE"/>
    <w:rsid w:val="00B85588"/>
    <w:rsid w:val="00B85A42"/>
    <w:rsid w:val="00B860DD"/>
    <w:rsid w:val="00B87610"/>
    <w:rsid w:val="00B87C7D"/>
    <w:rsid w:val="00B917AB"/>
    <w:rsid w:val="00B91F88"/>
    <w:rsid w:val="00B91F91"/>
    <w:rsid w:val="00B9543B"/>
    <w:rsid w:val="00B95B84"/>
    <w:rsid w:val="00BA0E7F"/>
    <w:rsid w:val="00BA5E7D"/>
    <w:rsid w:val="00BA65F9"/>
    <w:rsid w:val="00BA78A5"/>
    <w:rsid w:val="00BA7DB4"/>
    <w:rsid w:val="00BB0981"/>
    <w:rsid w:val="00BB1345"/>
    <w:rsid w:val="00BB1AC6"/>
    <w:rsid w:val="00BB4C18"/>
    <w:rsid w:val="00BB5818"/>
    <w:rsid w:val="00BB5883"/>
    <w:rsid w:val="00BB5A83"/>
    <w:rsid w:val="00BB5FEA"/>
    <w:rsid w:val="00BB6089"/>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186A"/>
    <w:rsid w:val="00BE23D8"/>
    <w:rsid w:val="00BE28DB"/>
    <w:rsid w:val="00BE3F01"/>
    <w:rsid w:val="00BE68C2"/>
    <w:rsid w:val="00BF11F6"/>
    <w:rsid w:val="00BF2A2B"/>
    <w:rsid w:val="00BF3D18"/>
    <w:rsid w:val="00BF4E55"/>
    <w:rsid w:val="00BF6FFD"/>
    <w:rsid w:val="00C003DD"/>
    <w:rsid w:val="00C00C4C"/>
    <w:rsid w:val="00C00F81"/>
    <w:rsid w:val="00C01A9F"/>
    <w:rsid w:val="00C03269"/>
    <w:rsid w:val="00C10B72"/>
    <w:rsid w:val="00C11F0E"/>
    <w:rsid w:val="00C126CD"/>
    <w:rsid w:val="00C14144"/>
    <w:rsid w:val="00C142AD"/>
    <w:rsid w:val="00C143E1"/>
    <w:rsid w:val="00C16999"/>
    <w:rsid w:val="00C17401"/>
    <w:rsid w:val="00C231B1"/>
    <w:rsid w:val="00C2383C"/>
    <w:rsid w:val="00C24F87"/>
    <w:rsid w:val="00C262FA"/>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34C"/>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0EBB"/>
    <w:rsid w:val="00CE1444"/>
    <w:rsid w:val="00CE1B0A"/>
    <w:rsid w:val="00CE3098"/>
    <w:rsid w:val="00CE5032"/>
    <w:rsid w:val="00CF1147"/>
    <w:rsid w:val="00CF1270"/>
    <w:rsid w:val="00CF212F"/>
    <w:rsid w:val="00CF2B9D"/>
    <w:rsid w:val="00CF2BCC"/>
    <w:rsid w:val="00CF5CF8"/>
    <w:rsid w:val="00CF7990"/>
    <w:rsid w:val="00D00837"/>
    <w:rsid w:val="00D01182"/>
    <w:rsid w:val="00D02630"/>
    <w:rsid w:val="00D02731"/>
    <w:rsid w:val="00D0275C"/>
    <w:rsid w:val="00D03A8B"/>
    <w:rsid w:val="00D06A2B"/>
    <w:rsid w:val="00D06DB5"/>
    <w:rsid w:val="00D1060A"/>
    <w:rsid w:val="00D1138B"/>
    <w:rsid w:val="00D12945"/>
    <w:rsid w:val="00D20BE8"/>
    <w:rsid w:val="00D218DD"/>
    <w:rsid w:val="00D21DB5"/>
    <w:rsid w:val="00D21F59"/>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1D99"/>
    <w:rsid w:val="00D93F69"/>
    <w:rsid w:val="00D945FD"/>
    <w:rsid w:val="00D94E00"/>
    <w:rsid w:val="00D96896"/>
    <w:rsid w:val="00D9717C"/>
    <w:rsid w:val="00DA0560"/>
    <w:rsid w:val="00DA1A86"/>
    <w:rsid w:val="00DA2574"/>
    <w:rsid w:val="00DA3633"/>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3934"/>
    <w:rsid w:val="00DF60BA"/>
    <w:rsid w:val="00DF768C"/>
    <w:rsid w:val="00DF7D74"/>
    <w:rsid w:val="00E00505"/>
    <w:rsid w:val="00E037D2"/>
    <w:rsid w:val="00E03FD4"/>
    <w:rsid w:val="00E04521"/>
    <w:rsid w:val="00E04941"/>
    <w:rsid w:val="00E057C6"/>
    <w:rsid w:val="00E06D40"/>
    <w:rsid w:val="00E10414"/>
    <w:rsid w:val="00E11D3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138"/>
    <w:rsid w:val="00E26544"/>
    <w:rsid w:val="00E3115F"/>
    <w:rsid w:val="00E3371D"/>
    <w:rsid w:val="00E35144"/>
    <w:rsid w:val="00E35367"/>
    <w:rsid w:val="00E35B21"/>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569AE"/>
    <w:rsid w:val="00E60ED9"/>
    <w:rsid w:val="00E60FD0"/>
    <w:rsid w:val="00E61601"/>
    <w:rsid w:val="00E61CCA"/>
    <w:rsid w:val="00E63507"/>
    <w:rsid w:val="00E70342"/>
    <w:rsid w:val="00E711B9"/>
    <w:rsid w:val="00E7149A"/>
    <w:rsid w:val="00E72A24"/>
    <w:rsid w:val="00E738C0"/>
    <w:rsid w:val="00E73B3A"/>
    <w:rsid w:val="00E73ED2"/>
    <w:rsid w:val="00E752AB"/>
    <w:rsid w:val="00E76289"/>
    <w:rsid w:val="00E77301"/>
    <w:rsid w:val="00E773D3"/>
    <w:rsid w:val="00E77E04"/>
    <w:rsid w:val="00E81AE1"/>
    <w:rsid w:val="00E840A8"/>
    <w:rsid w:val="00E8564F"/>
    <w:rsid w:val="00E85DF8"/>
    <w:rsid w:val="00E85E19"/>
    <w:rsid w:val="00E866B3"/>
    <w:rsid w:val="00E928A4"/>
    <w:rsid w:val="00E928C1"/>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55CA"/>
    <w:rsid w:val="00EB71B2"/>
    <w:rsid w:val="00EC3BA9"/>
    <w:rsid w:val="00EC4335"/>
    <w:rsid w:val="00EC4E81"/>
    <w:rsid w:val="00EC5817"/>
    <w:rsid w:val="00EC71A3"/>
    <w:rsid w:val="00ED0298"/>
    <w:rsid w:val="00ED2CB3"/>
    <w:rsid w:val="00ED4441"/>
    <w:rsid w:val="00ED79C2"/>
    <w:rsid w:val="00EE07FF"/>
    <w:rsid w:val="00EE1D91"/>
    <w:rsid w:val="00EE23D4"/>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36024"/>
    <w:rsid w:val="00F4038A"/>
    <w:rsid w:val="00F40440"/>
    <w:rsid w:val="00F4118F"/>
    <w:rsid w:val="00F41EA0"/>
    <w:rsid w:val="00F43E08"/>
    <w:rsid w:val="00F44F02"/>
    <w:rsid w:val="00F45376"/>
    <w:rsid w:val="00F465B9"/>
    <w:rsid w:val="00F471AE"/>
    <w:rsid w:val="00F50238"/>
    <w:rsid w:val="00F50FE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11CC"/>
    <w:rsid w:val="00F83DCB"/>
    <w:rsid w:val="00F83E84"/>
    <w:rsid w:val="00F84521"/>
    <w:rsid w:val="00F84DE3"/>
    <w:rsid w:val="00F85556"/>
    <w:rsid w:val="00F85E6C"/>
    <w:rsid w:val="00F863A3"/>
    <w:rsid w:val="00F863C9"/>
    <w:rsid w:val="00F86E40"/>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573E"/>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750"/>
    <w:rsid w:val="00FE0CF1"/>
    <w:rsid w:val="00FE2C65"/>
    <w:rsid w:val="00FE3BDB"/>
    <w:rsid w:val="00FE4B61"/>
    <w:rsid w:val="00FE5733"/>
    <w:rsid w:val="00FE61BE"/>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E2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NoSpacing">
    <w:name w:val="No Spacing"/>
    <w:uiPriority w:val="1"/>
    <w:qFormat/>
    <w:rsid w:val="00B357D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0569E6"/>
    <w:rsid w:val="00165516"/>
    <w:rsid w:val="001A1609"/>
    <w:rsid w:val="001B1408"/>
    <w:rsid w:val="003310B1"/>
    <w:rsid w:val="003D1E42"/>
    <w:rsid w:val="004A1D8A"/>
    <w:rsid w:val="00645076"/>
    <w:rsid w:val="006A14C7"/>
    <w:rsid w:val="00872BD0"/>
    <w:rsid w:val="0093715B"/>
    <w:rsid w:val="009C28E9"/>
    <w:rsid w:val="00A23EB6"/>
    <w:rsid w:val="00AC1B42"/>
    <w:rsid w:val="00B271B2"/>
    <w:rsid w:val="00C46E6B"/>
    <w:rsid w:val="00F31C83"/>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9E6"/>
    <w:rPr>
      <w:color w:val="808080"/>
    </w:rPr>
  </w:style>
  <w:style w:type="paragraph" w:customStyle="1" w:styleId="52C9D823380D4CA6BD001E9129BC73D5">
    <w:name w:val="52C9D823380D4CA6BD001E9129BC73D5"/>
    <w:rsid w:val="00AC1B42"/>
  </w:style>
  <w:style w:type="paragraph" w:customStyle="1" w:styleId="6A42B0A0AC71453996D990D54B607A94">
    <w:name w:val="6A42B0A0AC71453996D990D54B607A94"/>
    <w:rsid w:val="000569E6"/>
    <w:rPr>
      <w:szCs w:val="22"/>
      <w:lang w:val="en-SG" w:eastAsia="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944</TotalTime>
  <Pages>8</Pages>
  <Words>994</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IEEE 11-22-1783r0</vt:lpstr>
    </vt:vector>
  </TitlesOfParts>
  <Company>Panasonic Corporation</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11-22-1783r0</dc:title>
  <dc:subject>Submission</dc:subject>
  <dc:creator>Rojan Chitrakar</dc:creator>
  <cp:keywords/>
  <cp:lastModifiedBy>Rojan Chitrakar</cp:lastModifiedBy>
  <cp:revision>59</cp:revision>
  <cp:lastPrinted>2014-09-06T06:13:00Z</cp:lastPrinted>
  <dcterms:created xsi:type="dcterms:W3CDTF">2022-07-06T09:11:00Z</dcterms:created>
  <dcterms:modified xsi:type="dcterms:W3CDTF">2022-11-12T04:44:00Z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