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082ACAF" w:rsidR="00A353D7" w:rsidRPr="00CC2C3C" w:rsidRDefault="00CD1DAC" w:rsidP="00F76413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9709CC">
              <w:rPr>
                <w:b w:val="0"/>
              </w:rPr>
              <w:t>CR10013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61824CA" w:rsidR="00A353D7" w:rsidRPr="00CC2C3C" w:rsidRDefault="00CA0CDA" w:rsidP="00F76413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709CC">
              <w:rPr>
                <w:b w:val="0"/>
                <w:sz w:val="20"/>
              </w:rPr>
              <w:t>Oct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255E91">
              <w:rPr>
                <w:b w:val="0"/>
                <w:sz w:val="20"/>
              </w:rPr>
              <w:t>1</w:t>
            </w:r>
            <w:r w:rsidR="009709CC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B327C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360F8919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420" w:type="dxa"/>
            <w:vMerge w:val="restart"/>
            <w:vAlign w:val="center"/>
          </w:tcPr>
          <w:p w14:paraId="19A490FE" w14:textId="10196AE2" w:rsidR="002B327C" w:rsidRPr="000A26E7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  <w:bookmarkStart w:id="0" w:name="_GoBack"/>
            <w:bookmarkEnd w:id="0"/>
          </w:p>
        </w:tc>
        <w:tc>
          <w:tcPr>
            <w:tcW w:w="2175" w:type="dxa"/>
            <w:vAlign w:val="center"/>
          </w:tcPr>
          <w:p w14:paraId="595B2595" w14:textId="77777777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050BF3D6" w:rsidR="002B327C" w:rsidRPr="005C150E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Zhijie.yang@nokia-sbell.com</w:t>
            </w:r>
          </w:p>
        </w:tc>
      </w:tr>
      <w:tr w:rsidR="002B327C" w:rsidRPr="00CC2C3C" w14:paraId="50CE0EDA" w14:textId="77777777" w:rsidTr="00E96B90">
        <w:trPr>
          <w:jc w:val="center"/>
        </w:trPr>
        <w:tc>
          <w:tcPr>
            <w:tcW w:w="1980" w:type="dxa"/>
            <w:vAlign w:val="center"/>
          </w:tcPr>
          <w:p w14:paraId="232C9778" w14:textId="21C56BF3" w:rsidR="002B327C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A6C23">
              <w:rPr>
                <w:b w:val="0"/>
                <w:sz w:val="18"/>
                <w:szCs w:val="18"/>
                <w:lang w:eastAsia="ko-KR"/>
              </w:rPr>
              <w:t>Kasslin Mika</w:t>
            </w:r>
          </w:p>
        </w:tc>
        <w:tc>
          <w:tcPr>
            <w:tcW w:w="1420" w:type="dxa"/>
            <w:vMerge/>
            <w:vAlign w:val="center"/>
          </w:tcPr>
          <w:p w14:paraId="00BBA31A" w14:textId="085D2872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96CBB04" w14:textId="77777777" w:rsidR="002B327C" w:rsidRPr="000A26E7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F667E" w14:textId="77777777" w:rsidR="002B327C" w:rsidRPr="000A26E7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01BAD24" w14:textId="77777777" w:rsidR="002B327C" w:rsidRPr="000E119A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2B327C" w:rsidRPr="00CC2C3C" w14:paraId="1FCFE691" w14:textId="77777777" w:rsidTr="00E96B90">
        <w:trPr>
          <w:jc w:val="center"/>
        </w:trPr>
        <w:tc>
          <w:tcPr>
            <w:tcW w:w="1980" w:type="dxa"/>
            <w:vAlign w:val="center"/>
          </w:tcPr>
          <w:p w14:paraId="1AF61360" w14:textId="63C75650" w:rsidR="002B327C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Lorenzo  </w:t>
            </w:r>
            <w:r w:rsidRPr="007A6C23">
              <w:rPr>
                <w:b w:val="0"/>
                <w:sz w:val="18"/>
                <w:szCs w:val="18"/>
                <w:lang w:eastAsia="ko-KR"/>
              </w:rPr>
              <w:t>Galati Giordano</w:t>
            </w:r>
          </w:p>
        </w:tc>
        <w:tc>
          <w:tcPr>
            <w:tcW w:w="1420" w:type="dxa"/>
            <w:vMerge/>
            <w:vAlign w:val="center"/>
          </w:tcPr>
          <w:p w14:paraId="6D52079D" w14:textId="21372A94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EFB05A5" w14:textId="77777777" w:rsidR="002B327C" w:rsidRPr="000A26E7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1495A1" w14:textId="77777777" w:rsidR="002B327C" w:rsidRPr="000A26E7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BD4A15" w14:textId="77777777" w:rsidR="002B327C" w:rsidRPr="000E119A" w:rsidRDefault="002B327C" w:rsidP="002B327C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2B327C" w:rsidRPr="00CC2C3C" w14:paraId="41F32110" w14:textId="77777777" w:rsidTr="00E96B90">
        <w:trPr>
          <w:jc w:val="center"/>
        </w:trPr>
        <w:tc>
          <w:tcPr>
            <w:tcW w:w="1980" w:type="dxa"/>
            <w:vAlign w:val="center"/>
          </w:tcPr>
          <w:p w14:paraId="07FD7E27" w14:textId="163144C3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 Mutgan</w:t>
            </w:r>
          </w:p>
        </w:tc>
        <w:tc>
          <w:tcPr>
            <w:tcW w:w="1420" w:type="dxa"/>
            <w:vMerge/>
            <w:vAlign w:val="center"/>
          </w:tcPr>
          <w:p w14:paraId="22DD5C23" w14:textId="529CAD27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1246683" w14:textId="77777777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7D611F" w14:textId="77777777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039836" w14:textId="77777777" w:rsidR="002B327C" w:rsidRPr="000E119A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2B327C" w:rsidRPr="00CC2C3C" w14:paraId="0DB71430" w14:textId="77777777" w:rsidTr="00E96B90">
        <w:trPr>
          <w:jc w:val="center"/>
        </w:trPr>
        <w:tc>
          <w:tcPr>
            <w:tcW w:w="1980" w:type="dxa"/>
            <w:vAlign w:val="center"/>
          </w:tcPr>
          <w:p w14:paraId="10A462AB" w14:textId="59610072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Jianguo Liu</w:t>
            </w:r>
          </w:p>
        </w:tc>
        <w:tc>
          <w:tcPr>
            <w:tcW w:w="1420" w:type="dxa"/>
            <w:vMerge/>
            <w:vAlign w:val="center"/>
          </w:tcPr>
          <w:p w14:paraId="0D69E668" w14:textId="60E9BC0A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2B8E4AC" w14:textId="77777777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A29597F" w14:textId="77777777" w:rsidR="002B327C" w:rsidRPr="000A26E7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F5B5420" w14:textId="6A5BA8CB" w:rsidR="002B327C" w:rsidRDefault="002B327C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E119A">
              <w:rPr>
                <w:rFonts w:eastAsiaTheme="minorEastAsia"/>
                <w:b w:val="0"/>
                <w:sz w:val="16"/>
                <w:szCs w:val="18"/>
                <w:lang w:eastAsia="zh-CN"/>
              </w:rPr>
              <w:t>jianguo.a.liu@nokia-sbell.com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0D95B33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1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 received for TG</w:t>
      </w:r>
      <w:r w:rsidR="00CD1DAC">
        <w:rPr>
          <w:rFonts w:cs="Times New Roman"/>
          <w:sz w:val="18"/>
          <w:szCs w:val="18"/>
          <w:lang w:eastAsia="ko-KR"/>
        </w:rPr>
        <w:t>be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1"/>
    <w:p w14:paraId="63A5801B" w14:textId="73A54839" w:rsidR="00EF03E1" w:rsidRDefault="00063607" w:rsidP="00671D9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</w:t>
      </w:r>
      <w:r w:rsidR="009709CC">
        <w:rPr>
          <w:rFonts w:ascii="Times New Roman" w:hAnsi="Times New Roman" w:cs="Times New Roman"/>
          <w:sz w:val="18"/>
          <w:szCs w:val="18"/>
          <w:lang w:eastAsia="ko-KR"/>
        </w:rPr>
        <w:t>0013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BF3A3F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BF3A3F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</w:t>
            </w:r>
            <w:r w:rsidR="00AE6EE9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</w:t>
            </w:r>
            <w:r w:rsidR="005C150E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Resolution</w:t>
            </w:r>
          </w:p>
        </w:tc>
      </w:tr>
      <w:tr w:rsidR="00671D98" w:rsidRPr="00BF3A3F" w14:paraId="14308E74" w14:textId="77777777" w:rsidTr="009709CC">
        <w:trPr>
          <w:trHeight w:val="1878"/>
        </w:trPr>
        <w:tc>
          <w:tcPr>
            <w:tcW w:w="662" w:type="dxa"/>
            <w:shd w:val="clear" w:color="auto" w:fill="auto"/>
          </w:tcPr>
          <w:p w14:paraId="5A015A58" w14:textId="3D98395A" w:rsidR="00671D98" w:rsidRPr="00A768E0" w:rsidRDefault="009709CC" w:rsidP="00671D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8E0">
              <w:rPr>
                <w:rFonts w:ascii="Arial" w:hAnsi="Arial" w:cs="Arial"/>
                <w:sz w:val="18"/>
                <w:szCs w:val="18"/>
              </w:rPr>
              <w:t>10013</w:t>
            </w:r>
          </w:p>
        </w:tc>
        <w:tc>
          <w:tcPr>
            <w:tcW w:w="1039" w:type="dxa"/>
            <w:shd w:val="clear" w:color="auto" w:fill="auto"/>
          </w:tcPr>
          <w:p w14:paraId="00F3CF25" w14:textId="0A4F9641" w:rsidR="00671D98" w:rsidRPr="00A768E0" w:rsidRDefault="00A768E0" w:rsidP="00671D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8E0">
              <w:rPr>
                <w:rFonts w:ascii="Arial" w:hAnsi="Arial" w:cs="Arial"/>
                <w:sz w:val="18"/>
                <w:szCs w:val="18"/>
              </w:rPr>
              <w:t>Jay Yang</w:t>
            </w:r>
          </w:p>
        </w:tc>
        <w:tc>
          <w:tcPr>
            <w:tcW w:w="709" w:type="dxa"/>
            <w:shd w:val="clear" w:color="auto" w:fill="auto"/>
          </w:tcPr>
          <w:p w14:paraId="245E6FF9" w14:textId="23430827" w:rsidR="00A768E0" w:rsidRPr="00A768E0" w:rsidRDefault="00A768E0" w:rsidP="00671D98">
            <w:pPr>
              <w:rPr>
                <w:rFonts w:ascii="Arial" w:hAnsi="Arial" w:cs="Arial"/>
                <w:sz w:val="18"/>
                <w:szCs w:val="18"/>
              </w:rPr>
            </w:pPr>
            <w:r w:rsidRPr="00A768E0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427.05</w:t>
            </w:r>
          </w:p>
        </w:tc>
        <w:tc>
          <w:tcPr>
            <w:tcW w:w="851" w:type="dxa"/>
            <w:shd w:val="clear" w:color="auto" w:fill="auto"/>
          </w:tcPr>
          <w:p w14:paraId="55FA5968" w14:textId="63118134" w:rsidR="00671D98" w:rsidRPr="00A768E0" w:rsidRDefault="00A768E0" w:rsidP="00A768E0">
            <w:pPr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A768E0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35.3.7</w:t>
            </w:r>
          </w:p>
        </w:tc>
        <w:tc>
          <w:tcPr>
            <w:tcW w:w="1984" w:type="dxa"/>
            <w:shd w:val="clear" w:color="auto" w:fill="auto"/>
          </w:tcPr>
          <w:p w14:paraId="0044C7BC" w14:textId="336ACDA9" w:rsidR="00671D98" w:rsidRPr="00A768E0" w:rsidRDefault="00A768E0" w:rsidP="00671D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8E0">
              <w:rPr>
                <w:rFonts w:ascii="Arial" w:hAnsi="Arial" w:cs="Arial"/>
                <w:sz w:val="18"/>
                <w:szCs w:val="18"/>
              </w:rPr>
              <w:t>if one of the affiliated AP operating on CAC state, the link should be disable and enabled again once it's out of CAC mode.</w:t>
            </w:r>
          </w:p>
        </w:tc>
        <w:tc>
          <w:tcPr>
            <w:tcW w:w="1843" w:type="dxa"/>
            <w:shd w:val="clear" w:color="auto" w:fill="auto"/>
          </w:tcPr>
          <w:p w14:paraId="69AF241A" w14:textId="225555FF" w:rsidR="00671D98" w:rsidRPr="00A768E0" w:rsidRDefault="00A768E0" w:rsidP="00063607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8E0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11be SPEC should have a solution to indicate the CAC mode and the remaing time, so that the non-AP MLD can decide whether to associated with such AP MLD.</w:t>
            </w:r>
          </w:p>
        </w:tc>
        <w:tc>
          <w:tcPr>
            <w:tcW w:w="2219" w:type="dxa"/>
            <w:shd w:val="clear" w:color="auto" w:fill="auto"/>
          </w:tcPr>
          <w:p w14:paraId="5DF88879" w14:textId="750E19B0" w:rsidR="00671D98" w:rsidRPr="00A768E0" w:rsidRDefault="00A768E0" w:rsidP="00671D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8E0">
              <w:rPr>
                <w:rFonts w:ascii="Arial" w:hAnsi="Arial" w:cs="Arial"/>
                <w:sz w:val="18"/>
                <w:szCs w:val="18"/>
              </w:rPr>
              <w:t>R</w:t>
            </w:r>
            <w:r w:rsidRPr="00A768E0">
              <w:rPr>
                <w:rFonts w:ascii="Arial" w:hAnsi="Arial" w:cs="Arial"/>
                <w:sz w:val="18"/>
                <w:szCs w:val="18"/>
                <w:lang w:eastAsia="zh-CN"/>
              </w:rPr>
              <w:t>ev</w:t>
            </w:r>
            <w:r w:rsidRPr="00A768E0">
              <w:rPr>
                <w:rFonts w:ascii="Arial" w:hAnsi="Arial" w:cs="Arial"/>
                <w:sz w:val="18"/>
                <w:szCs w:val="18"/>
              </w:rPr>
              <w:t>ised—</w:t>
            </w:r>
          </w:p>
          <w:p w14:paraId="7FB2B644" w14:textId="77777777" w:rsidR="00155619" w:rsidRDefault="00155619" w:rsidP="0015561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Agree in principle with the comment. More detailed discussion for this aspect </w:t>
            </w:r>
          </w:p>
          <w:p w14:paraId="060750A2" w14:textId="77777777" w:rsidR="00155619" w:rsidRDefault="00155619" w:rsidP="0015561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rFonts w:ascii="宋体" w:eastAsia="宋体" w:hAnsi="宋体"/>
                <w:b/>
                <w:sz w:val="16"/>
                <w:szCs w:val="16"/>
                <w:lang w:eastAsia="zh-CN"/>
              </w:rPr>
              <w:t>And the proposal change</w:t>
            </w:r>
          </w:p>
          <w:p w14:paraId="61AD0920" w14:textId="41C6EA08" w:rsidR="00155619" w:rsidRPr="005401B8" w:rsidRDefault="00155619" w:rsidP="0015561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can be found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077046323"/>
                <w:placeholder>
                  <w:docPart w:val="120BBF5D1A3E4429AFCD23C9194B37B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</w:rPr>
                  <w:t>1782r0</w:t>
                </w:r>
              </w:sdtContent>
            </w:sdt>
          </w:p>
          <w:p w14:paraId="3B970E94" w14:textId="77777777" w:rsidR="00155619" w:rsidRDefault="00155619" w:rsidP="00155619">
            <w:pPr>
              <w:suppressAutoHyphens/>
              <w:rPr>
                <w:bCs/>
                <w:sz w:val="16"/>
                <w:szCs w:val="16"/>
              </w:rPr>
            </w:pPr>
          </w:p>
          <w:p w14:paraId="2D170BFF" w14:textId="3F79CA06" w:rsidR="00155619" w:rsidRDefault="00155619" w:rsidP="0015561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TGbe editor please implement changes as shown in doc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859197253"/>
                <w:placeholder>
                  <w:docPart w:val="DE2957DB5C8944FD90740B17D72BED2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</w:rPr>
                  <w:t>1782r0</w:t>
                </w:r>
              </w:sdtContent>
            </w:sdt>
          </w:p>
          <w:p w14:paraId="1D264E1A" w14:textId="6246A93D" w:rsidR="00155619" w:rsidRPr="001D415A" w:rsidRDefault="00155619" w:rsidP="00155619">
            <w:pPr>
              <w:suppressAutoHyphens/>
              <w:rPr>
                <w:b/>
                <w:sz w:val="16"/>
                <w:szCs w:val="16"/>
              </w:rPr>
            </w:pPr>
            <w:r w:rsidRPr="001D415A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10013</w:t>
            </w:r>
          </w:p>
          <w:p w14:paraId="7F08EB1C" w14:textId="0A619E09" w:rsidR="00A768E0" w:rsidRPr="00A768E0" w:rsidRDefault="00A768E0" w:rsidP="00671D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186C4D" w14:textId="1A20E45F" w:rsidR="00B205E3" w:rsidRDefault="00B205E3" w:rsidP="00C43630">
      <w:pPr>
        <w:jc w:val="both"/>
      </w:pPr>
      <w:r>
        <w:t>Discussion:</w:t>
      </w:r>
    </w:p>
    <w:p w14:paraId="02249AFC" w14:textId="3E82422D" w:rsidR="00292342" w:rsidRDefault="00C87A1D" w:rsidP="00C43630">
      <w:pPr>
        <w:jc w:val="both"/>
      </w:pPr>
      <w:r>
        <w:t>The following text copy from:</w:t>
      </w:r>
    </w:p>
    <w:p w14:paraId="4FF1144A" w14:textId="2631800E" w:rsidR="00C87A1D" w:rsidRDefault="00C87A1D" w:rsidP="00C43630">
      <w:pPr>
        <w:jc w:val="both"/>
      </w:pPr>
      <w:r>
        <w:rPr>
          <w:noProof/>
        </w:rPr>
        <w:drawing>
          <wp:inline distT="0" distB="0" distL="0" distR="0" wp14:anchorId="7FFCF3B7" wp14:editId="61B530F0">
            <wp:extent cx="5486400" cy="1593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6C68" w14:textId="0BF4E815" w:rsidR="00292342" w:rsidRDefault="00292342" w:rsidP="00C43630">
      <w:pPr>
        <w:jc w:val="both"/>
      </w:pPr>
      <w:r>
        <w:rPr>
          <w:rFonts w:hint="eastAsia"/>
          <w:lang w:eastAsia="zh-CN"/>
        </w:rPr>
        <w:t>/</w:t>
      </w:r>
      <w:r>
        <w:rPr>
          <w:lang w:eastAsia="zh-CN"/>
        </w:rPr>
        <w:t>*******************start********************/</w:t>
      </w:r>
    </w:p>
    <w:p w14:paraId="7E8F4EA9" w14:textId="77777777" w:rsidR="00292342" w:rsidRPr="00292342" w:rsidRDefault="00292342" w:rsidP="00C43630">
      <w:pPr>
        <w:jc w:val="both"/>
        <w:rPr>
          <w:b/>
          <w:bCs/>
        </w:rPr>
      </w:pPr>
      <w:r w:rsidRPr="00292342">
        <w:rPr>
          <w:b/>
          <w:bCs/>
        </w:rPr>
        <w:t xml:space="preserve">7.8.2.1 Initial Channel Availability Check Time </w:t>
      </w:r>
    </w:p>
    <w:p w14:paraId="03AD99C8" w14:textId="24F24D61" w:rsidR="00292342" w:rsidRDefault="00292342" w:rsidP="00C43630">
      <w:pPr>
        <w:jc w:val="both"/>
      </w:pPr>
      <w:r>
        <w:lastRenderedPageBreak/>
        <w:t xml:space="preserve">The Initial Channel Availability Check Time tests that the UUT </w:t>
      </w:r>
      <w:r w:rsidRPr="0095415D">
        <w:rPr>
          <w:u w:val="single"/>
        </w:rPr>
        <w:t>does not emit beacon</w:t>
      </w:r>
      <w:r w:rsidRPr="00292342">
        <w:rPr>
          <w:u w:val="single"/>
        </w:rPr>
        <w:t>, control, or data signals on the test Channel</w:t>
      </w:r>
      <w:r>
        <w:t xml:space="preserve"> until the power-up sequence has been completed and the U-NII device checks for Radar Waveforms for one minute on the test Channel. This test does not use any Radar Waveforms and only needs to be performed one time.</w:t>
      </w:r>
    </w:p>
    <w:p w14:paraId="01571E4E" w14:textId="77777777" w:rsidR="00292342" w:rsidRDefault="00292342" w:rsidP="00C43630">
      <w:pPr>
        <w:jc w:val="both"/>
      </w:pPr>
      <w:r>
        <w:t xml:space="preserve"> a) The U-NII devices will be powered on and be instructed to operate on the appropriate U-NII Channel that must incorporate DFS functions. At the same time the UUT is powered on, the spectrum analyzer will be set to zero span mode with a 3 MHz RBW and 3 MHz VBW on the Channel occupied by the radar (Chr) with a </w:t>
      </w:r>
      <w:proofErr w:type="gramStart"/>
      <w:r>
        <w:t>2.5 minute</w:t>
      </w:r>
      <w:proofErr w:type="gramEnd"/>
      <w:r>
        <w:t xml:space="preserve"> sweep time. The spectrum analyzer’s sweep will be started at the same time power is applied to the U-NII device. </w:t>
      </w:r>
    </w:p>
    <w:p w14:paraId="5423ACC4" w14:textId="77777777" w:rsidR="00292342" w:rsidRDefault="00292342" w:rsidP="00C43630">
      <w:pPr>
        <w:jc w:val="both"/>
      </w:pPr>
      <w:r>
        <w:t>b) The UUT should not transmit any beacon or data transmissions until at least 1 minute after the completion of the power-on cycle.</w:t>
      </w:r>
    </w:p>
    <w:p w14:paraId="6C81FDEB" w14:textId="06325641" w:rsidR="00292342" w:rsidRDefault="00292342" w:rsidP="00C43630">
      <w:pPr>
        <w:jc w:val="both"/>
      </w:pPr>
      <w:r>
        <w:t xml:space="preserve"> c) Confirm that the UUT initiates transmission on the channel</w:t>
      </w:r>
    </w:p>
    <w:p w14:paraId="109839EE" w14:textId="4FC10AF9" w:rsidR="00292342" w:rsidRDefault="00292342" w:rsidP="00C43630">
      <w:pPr>
        <w:jc w:val="both"/>
      </w:pPr>
      <w:r>
        <w:rPr>
          <w:noProof/>
        </w:rPr>
        <w:drawing>
          <wp:inline distT="0" distB="0" distL="0" distR="0" wp14:anchorId="4E5DF2E3" wp14:editId="048120A7">
            <wp:extent cx="4946650" cy="3606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2D3C" w14:textId="18F6CBAC" w:rsidR="00292342" w:rsidRDefault="00292342" w:rsidP="00292342">
      <w:pPr>
        <w:jc w:val="both"/>
      </w:pPr>
      <w:r>
        <w:rPr>
          <w:rFonts w:hint="eastAsia"/>
          <w:lang w:eastAsia="zh-CN"/>
        </w:rPr>
        <w:t>/</w:t>
      </w:r>
      <w:r>
        <w:rPr>
          <w:lang w:eastAsia="zh-CN"/>
        </w:rPr>
        <w:t>*******************end********************/</w:t>
      </w:r>
    </w:p>
    <w:p w14:paraId="19193F26" w14:textId="4B42191C" w:rsidR="00292342" w:rsidRDefault="00263CE4" w:rsidP="00C43630">
      <w:pPr>
        <w:jc w:val="both"/>
      </w:pPr>
      <w:r>
        <w:t>Obviously, the affiliated AP doesn’t suspend its wireless functionalities when it</w:t>
      </w:r>
      <w:r w:rsidR="000E119A">
        <w:t>’</w:t>
      </w:r>
      <w:r>
        <w:t>s in disabled mode and in CAC state.</w:t>
      </w:r>
    </w:p>
    <w:p w14:paraId="00518A93" w14:textId="3AF30BD2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0EB50ED4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TGbe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263CE4">
        <w:rPr>
          <w:b/>
          <w:i/>
          <w:iCs/>
          <w:highlight w:val="yellow"/>
        </w:rPr>
        <w:t>2</w:t>
      </w:r>
      <w:r w:rsidR="004A44CE">
        <w:rPr>
          <w:b/>
          <w:i/>
          <w:iCs/>
          <w:highlight w:val="yellow"/>
        </w:rPr>
        <w:t xml:space="preserve"> and </w:t>
      </w:r>
      <w:r w:rsidR="0099416D">
        <w:rPr>
          <w:b/>
          <w:i/>
          <w:iCs/>
          <w:highlight w:val="yellow"/>
        </w:rPr>
        <w:t>REVme D1.0</w:t>
      </w:r>
      <w:r>
        <w:rPr>
          <w:b/>
          <w:i/>
          <w:iCs/>
          <w:highlight w:val="yellow"/>
        </w:rPr>
        <w:t xml:space="preserve"> </w:t>
      </w:r>
    </w:p>
    <w:p w14:paraId="28C145F5" w14:textId="77777777" w:rsidR="00B205E3" w:rsidRDefault="00B205E3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9A57E41" w14:textId="3588E10C" w:rsidR="00B205E3" w:rsidRPr="00B205E3" w:rsidRDefault="00B205E3" w:rsidP="00B9196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</w:pPr>
      <w:r w:rsidRPr="00B205E3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 xml:space="preserve">TGbe editor: Please </w:t>
      </w:r>
      <w:r w:rsidR="00263CE4" w:rsidRPr="00263CE4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>incorporate</w:t>
      </w:r>
      <w:r w:rsidR="00292342" w:rsidRPr="00263CE4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 xml:space="preserve"> the following change in</w:t>
      </w:r>
      <w:r w:rsidR="00263CE4" w:rsidRPr="00263CE4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 xml:space="preserve"> subclause </w:t>
      </w:r>
      <w:r w:rsidR="00263CE4" w:rsidRPr="00263CE4">
        <w:rPr>
          <w:b/>
          <w:bCs/>
          <w:sz w:val="20"/>
          <w:szCs w:val="20"/>
          <w:highlight w:val="yellow"/>
        </w:rPr>
        <w:t>35.3.7.1.1 General</w:t>
      </w:r>
      <w:r w:rsidR="00292342" w:rsidRPr="00263CE4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 xml:space="preserve"> </w:t>
      </w:r>
    </w:p>
    <w:p w14:paraId="12E21C5C" w14:textId="4D08350E" w:rsidR="00263CE4" w:rsidRDefault="00263CE4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A STA affiliated with an MLD that operates on a link disabled by an advertised TID-to-link mapping (see 35.3.7.1.7 (Advertised TID-to-link mapping in Beacon and Probe Response frames(#14054))) shall suspend all wireless functionalities </w:t>
      </w:r>
      <w:r w:rsidRPr="00263CE4">
        <w:rPr>
          <w:b/>
          <w:bCs/>
          <w:color w:val="FF0000"/>
          <w:sz w:val="20"/>
          <w:szCs w:val="20"/>
          <w:u w:val="single"/>
        </w:rPr>
        <w:t>except detecting radar operation subject to (11.8 DFS procedures)</w:t>
      </w:r>
      <w:r>
        <w:rPr>
          <w:color w:val="FF0000"/>
          <w:sz w:val="20"/>
          <w:szCs w:val="20"/>
        </w:rPr>
        <w:t> </w:t>
      </w:r>
      <w:r>
        <w:rPr>
          <w:sz w:val="20"/>
          <w:szCs w:val="20"/>
        </w:rPr>
        <w:t xml:space="preserve"> on that link until the link is enabled. </w:t>
      </w:r>
      <w:r>
        <w:rPr>
          <w:sz w:val="18"/>
          <w:szCs w:val="18"/>
        </w:rPr>
        <w:t>(#14054)</w:t>
      </w:r>
      <w:r w:rsidR="00155619">
        <w:rPr>
          <w:sz w:val="18"/>
          <w:szCs w:val="18"/>
        </w:rPr>
        <w:t>(</w:t>
      </w:r>
      <w:r w:rsidR="00155619" w:rsidRPr="00155619">
        <w:rPr>
          <w:b/>
          <w:sz w:val="16"/>
          <w:szCs w:val="16"/>
          <w:u w:val="single"/>
        </w:rPr>
        <w:t xml:space="preserve"> #10013</w:t>
      </w:r>
      <w:r w:rsidR="00155619" w:rsidRPr="00155619">
        <w:rPr>
          <w:sz w:val="18"/>
          <w:szCs w:val="18"/>
          <w:u w:val="single"/>
        </w:rPr>
        <w:t>)</w:t>
      </w:r>
    </w:p>
    <w:p w14:paraId="6DC0A994" w14:textId="653FCD39" w:rsidR="008C22F2" w:rsidRDefault="00263CE4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sz w:val="18"/>
          <w:szCs w:val="18"/>
        </w:rPr>
        <w:t>NOTE 1— Suspension of wireless functionalities refers to functionalities such as frame generation, schedules, scoreboard maintenances, etc., while still preserving previously negotiated parameters with the peer EHT STA(s)</w:t>
      </w:r>
    </w:p>
    <w:p w14:paraId="13368C74" w14:textId="77777777" w:rsidR="008C22F2" w:rsidRDefault="008C22F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EB6F105" w14:textId="77777777" w:rsidR="008C22F2" w:rsidRDefault="008C22F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BFCFE" w14:textId="77777777" w:rsidR="001D47A6" w:rsidRDefault="001D47A6">
      <w:pPr>
        <w:spacing w:after="0" w:line="240" w:lineRule="auto"/>
      </w:pPr>
      <w:r>
        <w:separator/>
      </w:r>
    </w:p>
  </w:endnote>
  <w:endnote w:type="continuationSeparator" w:id="0">
    <w:p w14:paraId="2CD733C6" w14:textId="77777777" w:rsidR="001D47A6" w:rsidRDefault="001D47A6">
      <w:pPr>
        <w:spacing w:after="0" w:line="240" w:lineRule="auto"/>
      </w:pPr>
      <w:r>
        <w:continuationSeparator/>
      </w:r>
    </w:p>
  </w:endnote>
  <w:endnote w:type="continuationNotice" w:id="1">
    <w:p w14:paraId="6C0FB234" w14:textId="77777777" w:rsidR="001D47A6" w:rsidRDefault="001D4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2F3157">
      <w:rPr>
        <w:rFonts w:ascii="Times New Roman" w:eastAsia="Malgun Gothic" w:hAnsi="Times New Roman" w:cs="Times New Roman"/>
        <w:noProof/>
        <w:sz w:val="24"/>
        <w:szCs w:val="20"/>
        <w:lang w:val="en-GB"/>
      </w:rPr>
      <w:t>8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D9D9E" w14:textId="77777777" w:rsidR="001D47A6" w:rsidRDefault="001D47A6">
      <w:pPr>
        <w:spacing w:after="0" w:line="240" w:lineRule="auto"/>
      </w:pPr>
      <w:r>
        <w:separator/>
      </w:r>
    </w:p>
  </w:footnote>
  <w:footnote w:type="continuationSeparator" w:id="0">
    <w:p w14:paraId="7BC942C8" w14:textId="77777777" w:rsidR="001D47A6" w:rsidRDefault="001D47A6">
      <w:pPr>
        <w:spacing w:after="0" w:line="240" w:lineRule="auto"/>
      </w:pPr>
      <w:r>
        <w:continuationSeparator/>
      </w:r>
    </w:p>
  </w:footnote>
  <w:footnote w:type="continuationNotice" w:id="1">
    <w:p w14:paraId="5EA39BBD" w14:textId="77777777" w:rsidR="001D47A6" w:rsidRDefault="001D47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352E27" w:rsidRPr="002D636E" w:rsidRDefault="00352E27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5E15A1B" w:rsidR="00352E27" w:rsidRPr="00DE6B44" w:rsidRDefault="00352E2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E90635">
      <w:rPr>
        <w:rFonts w:ascii="Times New Roman" w:eastAsia="Malgun Gothic" w:hAnsi="Times New Roman" w:cs="Times New Roman"/>
        <w:b/>
        <w:sz w:val="28"/>
        <w:szCs w:val="20"/>
        <w:lang w:val="en-GB"/>
      </w:rPr>
      <w:t>1250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F23F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2DB1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19A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302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4D3"/>
    <w:rsid w:val="00153658"/>
    <w:rsid w:val="00153A09"/>
    <w:rsid w:val="00153F7B"/>
    <w:rsid w:val="001541B2"/>
    <w:rsid w:val="0015443E"/>
    <w:rsid w:val="0015498F"/>
    <w:rsid w:val="00154A6D"/>
    <w:rsid w:val="00155619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7A6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EC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5E0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3CE4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342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27C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157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432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2D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9F0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51B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538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BF0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3C1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15D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9CC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3FD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68E0"/>
    <w:rsid w:val="00A770DC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2FC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77EB1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D1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FF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A49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87A1D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577"/>
    <w:rsid w:val="00CD0616"/>
    <w:rsid w:val="00CD128C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1CE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152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2E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1C08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739F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0BBF5D1A3E4429AFCD23C9194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C0A1-D74D-4FE5-AB01-3DDDBE8B1843}"/>
      </w:docPartPr>
      <w:docPartBody>
        <w:p w:rsidR="002F07AB" w:rsidRDefault="009C6813" w:rsidP="009C6813">
          <w:pPr>
            <w:pStyle w:val="120BBF5D1A3E4429AFCD23C9194B37BE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DE2957DB5C8944FD90740B17D72B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2C4D-61E2-4748-ACAD-E6BD707C8E49}"/>
      </w:docPartPr>
      <w:docPartBody>
        <w:p w:rsidR="002F07AB" w:rsidRDefault="009C6813" w:rsidP="009C6813">
          <w:pPr>
            <w:pStyle w:val="DE2957DB5C8944FD90740B17D72BED29"/>
          </w:pPr>
          <w:r w:rsidRPr="00581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3"/>
    <w:rsid w:val="002F07AB"/>
    <w:rsid w:val="00333F7A"/>
    <w:rsid w:val="005654D7"/>
    <w:rsid w:val="009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813"/>
    <w:rPr>
      <w:color w:val="808080"/>
    </w:rPr>
  </w:style>
  <w:style w:type="paragraph" w:customStyle="1" w:styleId="120BBF5D1A3E4429AFCD23C9194B37BE">
    <w:name w:val="120BBF5D1A3E4429AFCD23C9194B37BE"/>
    <w:rsid w:val="009C6813"/>
  </w:style>
  <w:style w:type="paragraph" w:customStyle="1" w:styleId="DE2957DB5C8944FD90740B17D72BED29">
    <w:name w:val="DE2957DB5C8944FD90740B17D72BED29"/>
    <w:rsid w:val="009C6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BC3B018-2B67-4E88-BE50-6E4B56E2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1782r0</dc:title>
  <dc:subject/>
  <dc:creator>Jason Yuchen Guo</dc:creator>
  <cp:keywords/>
  <dc:description/>
  <cp:lastModifiedBy>Yang, Zhijie (NSB - CN/Shanghai)</cp:lastModifiedBy>
  <cp:revision>6</cp:revision>
  <dcterms:created xsi:type="dcterms:W3CDTF">2022-10-18T07:01:00Z</dcterms:created>
  <dcterms:modified xsi:type="dcterms:W3CDTF">2022-10-19T07:51:00Z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(3)aF9E/G8FMCOfqcc6gxgKlonOIxgR3qupBpT1Bjv4eKGdQw+UMVoIr9hZhWc8EFfPC/SY3IWB
iCL860nHi9SEVmERlvCBEsY529LovKzqFsYDk1uoCVFPTyOPiZgOxSKS0bz45X1IaD90P0HN
m1jkOjgRiaFPYfLPFgk1GmSUT/df7OgHLnIA1DOzLOjvT64hblKpdvVT18YPJeJhBc9imwxT
hDO9Fy8gdOpT+sKCTU</vt:lpwstr>
  </property>
  <property fmtid="{D5CDD505-2E9C-101B-9397-08002B2CF9AE}" pid="6" name="_2015_ms_pID_7253431">
    <vt:lpwstr>cZCIDuCrqecTW4GbURBdBFTAfuAD0xOiQu6uWNe2XWkpuPe5uZFzK1
9h4qu9ym0p2w+c2N6ftZbGBtaE3faLPdcFHPeAvbwLYjnw01ietK4UadunCUqlunIY4UjSN4
w65BqcZJqk6tgCdwc2QLZwHT/s8hwCufp+XTeIW2wAOvDVozbkDL+P6d6c1XCSKJkrOot7zD
IUl/csoRu7t0DtxnB0+rt5QXFqRXNYVFcR8n</vt:lpwstr>
  </property>
  <property fmtid="{D5CDD505-2E9C-101B-9397-08002B2CF9AE}" pid="7" name="_2015_ms_pID_7253432">
    <vt:lpwstr>a3Zp/WpIOeFVM8g+laj5TMo=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1663058872</vt:lpwstr>
  </property>
</Properties>
</file>