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BD9D35C"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LB266 CR for</w:t>
            </w:r>
            <w:r w:rsidR="001A173E">
              <w:rPr>
                <w:rFonts w:asciiTheme="minorHAnsi" w:hAnsiTheme="minorHAnsi" w:cstheme="minorHAnsi"/>
                <w:sz w:val="22"/>
                <w:szCs w:val="22"/>
              </w:rPr>
              <w:t xml:space="preserve"> </w:t>
            </w:r>
            <w:r w:rsidR="001A173E" w:rsidRPr="001A173E">
              <w:rPr>
                <w:rFonts w:asciiTheme="minorHAnsi" w:hAnsiTheme="minorHAnsi" w:cstheme="minorHAnsi"/>
                <w:sz w:val="22"/>
                <w:szCs w:val="22"/>
              </w:rPr>
              <w:t>9.3.1.22</w:t>
            </w:r>
            <w:r w:rsidR="001A173E">
              <w:rPr>
                <w:rFonts w:asciiTheme="minorHAnsi" w:hAnsiTheme="minorHAnsi" w:cstheme="minorHAnsi"/>
                <w:sz w:val="22"/>
                <w:szCs w:val="22"/>
              </w:rPr>
              <w:t xml:space="preserve"> </w:t>
            </w:r>
            <w:proofErr w:type="spellStart"/>
            <w:r w:rsidR="001A173E">
              <w:rPr>
                <w:rFonts w:asciiTheme="minorHAnsi" w:hAnsiTheme="minorHAnsi" w:cstheme="minorHAnsi"/>
                <w:sz w:val="22"/>
                <w:szCs w:val="22"/>
              </w:rPr>
              <w:t>Misc</w:t>
            </w:r>
            <w:proofErr w:type="spellEnd"/>
            <w:r w:rsidR="001A173E">
              <w:rPr>
                <w:rFonts w:asciiTheme="minorHAnsi" w:hAnsiTheme="minorHAnsi" w:cstheme="minorHAnsi"/>
                <w:sz w:val="22"/>
                <w:szCs w:val="22"/>
              </w:rPr>
              <w:t xml:space="preserve"> Part 2</w:t>
            </w:r>
          </w:p>
        </w:tc>
      </w:tr>
      <w:tr w:rsidR="005731EF" w:rsidRPr="005731EF" w14:paraId="4D0531B6" w14:textId="77777777" w:rsidTr="00FB5A3F">
        <w:trPr>
          <w:trHeight w:val="359"/>
          <w:jc w:val="center"/>
        </w:trPr>
        <w:tc>
          <w:tcPr>
            <w:tcW w:w="9576" w:type="dxa"/>
            <w:gridSpan w:val="5"/>
            <w:vAlign w:val="center"/>
          </w:tcPr>
          <w:p w14:paraId="6F9BF4A4" w14:textId="0C371B00"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FA18D2">
              <w:rPr>
                <w:rFonts w:asciiTheme="minorHAnsi" w:hAnsiTheme="minorHAnsi" w:cstheme="minorHAnsi"/>
                <w:b w:val="0"/>
                <w:sz w:val="22"/>
                <w:szCs w:val="22"/>
                <w:lang w:eastAsia="ko-KR"/>
              </w:rPr>
              <w:t>9</w:t>
            </w:r>
            <w:r w:rsidR="009D5F45">
              <w:rPr>
                <w:rFonts w:asciiTheme="minorHAnsi" w:hAnsiTheme="minorHAnsi" w:cstheme="minorHAnsi"/>
                <w:b w:val="0"/>
                <w:sz w:val="22"/>
                <w:szCs w:val="22"/>
                <w:lang w:eastAsia="ko-KR"/>
              </w:rPr>
              <w:t>-</w:t>
            </w:r>
            <w:r w:rsidR="001C07CA">
              <w:rPr>
                <w:rFonts w:asciiTheme="minorHAnsi" w:hAnsiTheme="minorHAnsi" w:cstheme="minorHAnsi"/>
                <w:b w:val="0"/>
                <w:sz w:val="22"/>
                <w:szCs w:val="22"/>
                <w:lang w:eastAsia="ko-KR"/>
              </w:rPr>
              <w:t>1</w:t>
            </w:r>
            <w:r w:rsidR="00BF11DC">
              <w:rPr>
                <w:rFonts w:asciiTheme="minorHAnsi" w:hAnsiTheme="minorHAnsi" w:cstheme="minorHAnsi"/>
                <w:b w:val="0"/>
                <w:sz w:val="22"/>
                <w:szCs w:val="22"/>
                <w:lang w:eastAsia="ko-KR"/>
              </w:rPr>
              <w:t>4</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7879278C"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F13130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 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89B65BE" w:rsidR="00E616BE" w:rsidRPr="008000DE" w:rsidRDefault="00BF11DC" w:rsidP="00E616BE">
      <w:pPr>
        <w:pStyle w:val="ListParagraph"/>
        <w:numPr>
          <w:ilvl w:val="0"/>
          <w:numId w:val="19"/>
        </w:numPr>
        <w:spacing w:after="0" w:line="240" w:lineRule="auto"/>
        <w:rPr>
          <w:rFonts w:cstheme="minorHAnsi"/>
          <w:sz w:val="24"/>
        </w:rPr>
      </w:pPr>
      <w:r w:rsidRPr="00BF11DC">
        <w:rPr>
          <w:rFonts w:cstheme="minorHAnsi"/>
          <w:sz w:val="24"/>
        </w:rPr>
        <w:t>10328,10329,11995,10800,10803,11492,10799,13455,13553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3EDB3C"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REVme_D1.3</w:t>
      </w:r>
      <w:r>
        <w:rPr>
          <w:b/>
          <w:i/>
          <w:iCs/>
          <w:highlight w:val="yellow"/>
        </w:rPr>
        <w:t xml:space="preserve"> and 11be D</w:t>
      </w:r>
      <w:r w:rsidR="00315B32">
        <w:rPr>
          <w:b/>
          <w:i/>
          <w:iCs/>
          <w:highlight w:val="yellow"/>
        </w:rPr>
        <w:t>2</w:t>
      </w:r>
      <w:r>
        <w:rPr>
          <w:b/>
          <w:i/>
          <w:iCs/>
          <w:highlight w:val="yellow"/>
        </w:rPr>
        <w:t>.</w:t>
      </w:r>
      <w:r w:rsidR="00FA18D2">
        <w:rPr>
          <w:b/>
          <w:i/>
          <w:iCs/>
          <w:highlight w:val="yellow"/>
        </w:rPr>
        <w:t>1.1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5"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882E24">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6D4F1E" w:rsidRPr="00955C14" w14:paraId="78BE470E" w14:textId="77777777" w:rsidTr="00882E24">
        <w:trPr>
          <w:trHeight w:val="449"/>
        </w:trPr>
        <w:tc>
          <w:tcPr>
            <w:tcW w:w="587" w:type="dxa"/>
            <w:shd w:val="clear" w:color="auto" w:fill="auto"/>
          </w:tcPr>
          <w:p w14:paraId="681F7909" w14:textId="043A6C0A" w:rsidR="006D4F1E" w:rsidRPr="006D4F1E" w:rsidRDefault="006D4F1E" w:rsidP="006D4F1E">
            <w:pPr>
              <w:pStyle w:val="T1"/>
              <w:suppressAutoHyphens/>
              <w:spacing w:after="120"/>
              <w:rPr>
                <w:b w:val="0"/>
                <w:sz w:val="16"/>
              </w:rPr>
            </w:pPr>
            <w:r w:rsidRPr="006D4F1E">
              <w:rPr>
                <w:b w:val="0"/>
                <w:sz w:val="16"/>
              </w:rPr>
              <w:t>10328</w:t>
            </w:r>
          </w:p>
        </w:tc>
        <w:tc>
          <w:tcPr>
            <w:tcW w:w="1034" w:type="dxa"/>
            <w:shd w:val="clear" w:color="auto" w:fill="auto"/>
          </w:tcPr>
          <w:p w14:paraId="1A7331DA" w14:textId="504F5F86" w:rsidR="006D4F1E" w:rsidRPr="006D4F1E" w:rsidRDefault="006D4F1E" w:rsidP="006D4F1E">
            <w:pPr>
              <w:pStyle w:val="T1"/>
              <w:suppressAutoHyphens/>
              <w:spacing w:after="120"/>
              <w:rPr>
                <w:b w:val="0"/>
                <w:sz w:val="16"/>
              </w:rPr>
            </w:pPr>
            <w:proofErr w:type="spellStart"/>
            <w:r w:rsidRPr="006D4F1E">
              <w:rPr>
                <w:b w:val="0"/>
                <w:sz w:val="16"/>
              </w:rPr>
              <w:t>Mengshi</w:t>
            </w:r>
            <w:proofErr w:type="spellEnd"/>
            <w:r w:rsidRPr="006D4F1E">
              <w:rPr>
                <w:b w:val="0"/>
                <w:sz w:val="16"/>
              </w:rPr>
              <w:t xml:space="preserve"> Hu</w:t>
            </w:r>
          </w:p>
        </w:tc>
        <w:tc>
          <w:tcPr>
            <w:tcW w:w="976" w:type="dxa"/>
            <w:shd w:val="clear" w:color="auto" w:fill="auto"/>
          </w:tcPr>
          <w:p w14:paraId="504C3B08" w14:textId="101071BF" w:rsidR="006D4F1E" w:rsidRPr="006D4F1E" w:rsidRDefault="006D4F1E" w:rsidP="006D4F1E">
            <w:pPr>
              <w:pStyle w:val="T1"/>
              <w:suppressAutoHyphens/>
              <w:spacing w:after="120"/>
              <w:rPr>
                <w:b w:val="0"/>
                <w:sz w:val="16"/>
              </w:rPr>
            </w:pPr>
            <w:r w:rsidRPr="006D4F1E">
              <w:rPr>
                <w:b w:val="0"/>
                <w:sz w:val="16"/>
              </w:rPr>
              <w:t>9.3.1.22.2</w:t>
            </w:r>
          </w:p>
        </w:tc>
        <w:tc>
          <w:tcPr>
            <w:tcW w:w="635" w:type="dxa"/>
            <w:shd w:val="clear" w:color="auto" w:fill="auto"/>
          </w:tcPr>
          <w:p w14:paraId="17817CA6" w14:textId="61E86C99" w:rsidR="006D4F1E" w:rsidRPr="006D4F1E" w:rsidRDefault="006D4F1E" w:rsidP="006D4F1E">
            <w:pPr>
              <w:pStyle w:val="T1"/>
              <w:suppressAutoHyphens/>
              <w:spacing w:after="120"/>
              <w:rPr>
                <w:b w:val="0"/>
                <w:sz w:val="16"/>
              </w:rPr>
            </w:pPr>
            <w:r w:rsidRPr="006D4F1E">
              <w:rPr>
                <w:b w:val="0"/>
                <w:sz w:val="16"/>
              </w:rPr>
              <w:t>146.13</w:t>
            </w:r>
          </w:p>
        </w:tc>
        <w:tc>
          <w:tcPr>
            <w:tcW w:w="2509" w:type="dxa"/>
            <w:shd w:val="clear" w:color="auto" w:fill="auto"/>
          </w:tcPr>
          <w:p w14:paraId="5D979E81" w14:textId="2C9B1CF9" w:rsidR="006D4F1E" w:rsidRPr="006D4F1E" w:rsidRDefault="006D4F1E" w:rsidP="006D4F1E">
            <w:pPr>
              <w:pStyle w:val="T1"/>
              <w:suppressAutoHyphens/>
              <w:spacing w:after="120"/>
              <w:jc w:val="left"/>
              <w:rPr>
                <w:b w:val="0"/>
                <w:sz w:val="16"/>
              </w:rPr>
            </w:pPr>
            <w:r w:rsidRPr="006D4F1E">
              <w:rPr>
                <w:b w:val="0"/>
                <w:sz w:val="16"/>
              </w:rPr>
              <w:t>It is confusing to mention "HE" in the HE/EHT-LTF Type/Triggered TXOP Sharing Mode subfield in the EHT variant common info field format. According to (Line 18, Page 145), it will be EHT variant common info field if B54 and B55 are equal to 1. In this case, why do we need HE here? Please add some clarifications.</w:t>
            </w:r>
          </w:p>
        </w:tc>
        <w:tc>
          <w:tcPr>
            <w:tcW w:w="2179" w:type="dxa"/>
            <w:shd w:val="clear" w:color="auto" w:fill="auto"/>
          </w:tcPr>
          <w:p w14:paraId="1CA8AF87" w14:textId="55B34BCE" w:rsidR="006D4F1E" w:rsidRPr="006D4F1E" w:rsidRDefault="006D4F1E" w:rsidP="006D4F1E">
            <w:pPr>
              <w:pStyle w:val="T1"/>
              <w:suppressAutoHyphens/>
              <w:spacing w:after="120"/>
              <w:jc w:val="left"/>
              <w:rPr>
                <w:b w:val="0"/>
                <w:sz w:val="16"/>
              </w:rPr>
            </w:pPr>
            <w:r w:rsidRPr="006D4F1E">
              <w:rPr>
                <w:b w:val="0"/>
                <w:sz w:val="16"/>
              </w:rPr>
              <w:t>As in the comment.</w:t>
            </w:r>
          </w:p>
        </w:tc>
        <w:tc>
          <w:tcPr>
            <w:tcW w:w="2790" w:type="dxa"/>
            <w:shd w:val="clear" w:color="auto" w:fill="auto"/>
          </w:tcPr>
          <w:p w14:paraId="0E62A0C4" w14:textId="0CE124E1" w:rsidR="006D4F1E" w:rsidRDefault="004E3232" w:rsidP="006D4F1E">
            <w:pPr>
              <w:pStyle w:val="T1"/>
              <w:suppressAutoHyphens/>
              <w:spacing w:after="120"/>
              <w:jc w:val="left"/>
              <w:rPr>
                <w:b w:val="0"/>
                <w:iCs/>
                <w:color w:val="000000"/>
                <w:sz w:val="16"/>
                <w:szCs w:val="16"/>
              </w:rPr>
            </w:pPr>
            <w:r>
              <w:rPr>
                <w:b w:val="0"/>
                <w:iCs/>
                <w:color w:val="000000"/>
                <w:sz w:val="16"/>
                <w:szCs w:val="16"/>
              </w:rPr>
              <w:t>Rejected.</w:t>
            </w:r>
            <w:r w:rsidR="005E53C5">
              <w:rPr>
                <w:b w:val="0"/>
                <w:iCs/>
                <w:color w:val="000000"/>
                <w:sz w:val="16"/>
                <w:szCs w:val="16"/>
              </w:rPr>
              <w:br/>
            </w:r>
            <w:r w:rsidR="005E53C5">
              <w:rPr>
                <w:b w:val="0"/>
                <w:iCs/>
                <w:color w:val="000000"/>
                <w:sz w:val="16"/>
                <w:szCs w:val="16"/>
              </w:rPr>
              <w:br/>
            </w:r>
            <w:r w:rsidR="00707307">
              <w:rPr>
                <w:b w:val="0"/>
                <w:iCs/>
                <w:color w:val="000000"/>
                <w:sz w:val="16"/>
                <w:szCs w:val="16"/>
              </w:rPr>
              <w:t>After offline discussion, t</w:t>
            </w:r>
            <w:r w:rsidR="000C6EA8">
              <w:rPr>
                <w:b w:val="0"/>
                <w:iCs/>
                <w:color w:val="000000"/>
                <w:sz w:val="16"/>
                <w:szCs w:val="16"/>
              </w:rPr>
              <w:t xml:space="preserve">he commenter </w:t>
            </w:r>
            <w:r w:rsidR="00707307">
              <w:rPr>
                <w:b w:val="0"/>
                <w:iCs/>
                <w:color w:val="000000"/>
                <w:sz w:val="16"/>
                <w:szCs w:val="16"/>
              </w:rPr>
              <w:t>prefers</w:t>
            </w:r>
            <w:r w:rsidR="000C6EA8">
              <w:rPr>
                <w:b w:val="0"/>
                <w:iCs/>
                <w:color w:val="000000"/>
                <w:sz w:val="16"/>
                <w:szCs w:val="16"/>
              </w:rPr>
              <w:t xml:space="preserve"> to keep the </w:t>
            </w:r>
            <w:r w:rsidR="009F30EE">
              <w:rPr>
                <w:b w:val="0"/>
                <w:iCs/>
                <w:color w:val="000000"/>
                <w:sz w:val="16"/>
                <w:szCs w:val="16"/>
              </w:rPr>
              <w:t>current text as is</w:t>
            </w:r>
            <w:r w:rsidR="00707307">
              <w:rPr>
                <w:b w:val="0"/>
                <w:iCs/>
                <w:color w:val="000000"/>
                <w:sz w:val="16"/>
                <w:szCs w:val="16"/>
              </w:rPr>
              <w:t xml:space="preserve"> for the stability of the spec</w:t>
            </w:r>
            <w:r w:rsidR="009F30EE">
              <w:rPr>
                <w:b w:val="0"/>
                <w:iCs/>
                <w:color w:val="000000"/>
                <w:sz w:val="16"/>
                <w:szCs w:val="16"/>
              </w:rPr>
              <w:t xml:space="preserve">. </w:t>
            </w:r>
            <w:r w:rsidR="005E53C5">
              <w:rPr>
                <w:b w:val="0"/>
                <w:iCs/>
                <w:color w:val="000000"/>
                <w:sz w:val="16"/>
                <w:szCs w:val="16"/>
              </w:rPr>
              <w:t xml:space="preserve">The </w:t>
            </w:r>
            <w:r w:rsidR="00377094">
              <w:rPr>
                <w:b w:val="0"/>
                <w:iCs/>
                <w:color w:val="000000"/>
                <w:sz w:val="16"/>
                <w:szCs w:val="16"/>
              </w:rPr>
              <w:t>subfield and related</w:t>
            </w:r>
            <w:r w:rsidR="005E53C5">
              <w:rPr>
                <w:b w:val="0"/>
                <w:iCs/>
                <w:color w:val="000000"/>
                <w:sz w:val="16"/>
                <w:szCs w:val="16"/>
              </w:rPr>
              <w:t xml:space="preserve"> spec text </w:t>
            </w:r>
            <w:r w:rsidR="00B60441">
              <w:rPr>
                <w:b w:val="0"/>
                <w:iCs/>
                <w:color w:val="000000"/>
                <w:sz w:val="16"/>
                <w:szCs w:val="16"/>
              </w:rPr>
              <w:t>are</w:t>
            </w:r>
            <w:r w:rsidR="009C04AD">
              <w:rPr>
                <w:b w:val="0"/>
                <w:iCs/>
                <w:color w:val="000000"/>
                <w:sz w:val="16"/>
                <w:szCs w:val="16"/>
              </w:rPr>
              <w:t xml:space="preserve"> </w:t>
            </w:r>
            <w:r w:rsidR="00D96F3A">
              <w:rPr>
                <w:b w:val="0"/>
                <w:iCs/>
                <w:color w:val="000000"/>
                <w:sz w:val="16"/>
                <w:szCs w:val="16"/>
              </w:rPr>
              <w:t xml:space="preserve">correct </w:t>
            </w:r>
            <w:r w:rsidR="008C18EF">
              <w:rPr>
                <w:b w:val="0"/>
                <w:iCs/>
                <w:color w:val="000000"/>
                <w:sz w:val="16"/>
                <w:szCs w:val="16"/>
              </w:rPr>
              <w:t>without any change</w:t>
            </w:r>
            <w:r w:rsidR="00412176">
              <w:rPr>
                <w:b w:val="0"/>
                <w:iCs/>
                <w:color w:val="000000"/>
                <w:sz w:val="16"/>
                <w:szCs w:val="16"/>
              </w:rPr>
              <w:t>. They</w:t>
            </w:r>
            <w:r w:rsidR="008C18EF">
              <w:rPr>
                <w:b w:val="0"/>
                <w:iCs/>
                <w:color w:val="000000"/>
                <w:sz w:val="16"/>
                <w:szCs w:val="16"/>
              </w:rPr>
              <w:t xml:space="preserve"> </w:t>
            </w:r>
            <w:r w:rsidR="00412176">
              <w:rPr>
                <w:b w:val="0"/>
                <w:iCs/>
                <w:color w:val="000000"/>
                <w:sz w:val="16"/>
                <w:szCs w:val="16"/>
              </w:rPr>
              <w:t>were</w:t>
            </w:r>
            <w:r w:rsidR="00D96F3A">
              <w:rPr>
                <w:b w:val="0"/>
                <w:iCs/>
                <w:color w:val="000000"/>
                <w:sz w:val="16"/>
                <w:szCs w:val="16"/>
              </w:rPr>
              <w:t xml:space="preserve"> </w:t>
            </w:r>
            <w:r w:rsidR="005C1522">
              <w:rPr>
                <w:b w:val="0"/>
                <w:iCs/>
                <w:color w:val="000000"/>
                <w:sz w:val="16"/>
                <w:szCs w:val="16"/>
              </w:rPr>
              <w:t xml:space="preserve">written </w:t>
            </w:r>
            <w:r w:rsidR="00DE3C50">
              <w:rPr>
                <w:b w:val="0"/>
                <w:iCs/>
                <w:color w:val="000000"/>
                <w:sz w:val="16"/>
                <w:szCs w:val="16"/>
              </w:rPr>
              <w:t xml:space="preserve">in a way to </w:t>
            </w:r>
            <w:r w:rsidR="00D96F3A">
              <w:rPr>
                <w:b w:val="0"/>
                <w:iCs/>
                <w:color w:val="000000"/>
                <w:sz w:val="16"/>
                <w:szCs w:val="16"/>
              </w:rPr>
              <w:t>serve as</w:t>
            </w:r>
            <w:r w:rsidR="00DE3C50">
              <w:rPr>
                <w:b w:val="0"/>
                <w:iCs/>
                <w:color w:val="000000"/>
                <w:sz w:val="16"/>
                <w:szCs w:val="16"/>
              </w:rPr>
              <w:t xml:space="preserve"> a stepping stone </w:t>
            </w:r>
            <w:r w:rsidR="00D96F3A">
              <w:rPr>
                <w:b w:val="0"/>
                <w:iCs/>
                <w:color w:val="000000"/>
                <w:sz w:val="16"/>
                <w:szCs w:val="16"/>
              </w:rPr>
              <w:t>towards</w:t>
            </w:r>
            <w:r w:rsidR="00DE3C50">
              <w:rPr>
                <w:b w:val="0"/>
                <w:iCs/>
                <w:color w:val="000000"/>
                <w:sz w:val="16"/>
                <w:szCs w:val="16"/>
              </w:rPr>
              <w:t xml:space="preserve"> A-PPDU.</w:t>
            </w:r>
            <w:r w:rsidR="00D96F3A">
              <w:rPr>
                <w:b w:val="0"/>
                <w:iCs/>
                <w:color w:val="000000"/>
                <w:sz w:val="16"/>
                <w:szCs w:val="16"/>
              </w:rPr>
              <w:t xml:space="preserve"> Although A-PPDU will not be supported</w:t>
            </w:r>
            <w:r w:rsidR="007E78EA">
              <w:rPr>
                <w:b w:val="0"/>
                <w:iCs/>
                <w:color w:val="000000"/>
                <w:sz w:val="16"/>
                <w:szCs w:val="16"/>
              </w:rPr>
              <w:t xml:space="preserve"> in 11be</w:t>
            </w:r>
            <w:r w:rsidR="00C27BA8">
              <w:rPr>
                <w:b w:val="0"/>
                <w:iCs/>
                <w:color w:val="000000"/>
                <w:sz w:val="16"/>
                <w:szCs w:val="16"/>
              </w:rPr>
              <w:t xml:space="preserve"> based on the group’s decision</w:t>
            </w:r>
            <w:r w:rsidR="00D96F3A">
              <w:rPr>
                <w:b w:val="0"/>
                <w:iCs/>
                <w:color w:val="000000"/>
                <w:sz w:val="16"/>
                <w:szCs w:val="16"/>
              </w:rPr>
              <w:t xml:space="preserve">, </w:t>
            </w:r>
            <w:r w:rsidR="008C18EF">
              <w:rPr>
                <w:b w:val="0"/>
                <w:iCs/>
                <w:color w:val="000000"/>
                <w:sz w:val="16"/>
                <w:szCs w:val="16"/>
              </w:rPr>
              <w:t xml:space="preserve">similar to 16SS support, </w:t>
            </w:r>
            <w:r w:rsidR="00E17951">
              <w:rPr>
                <w:b w:val="0"/>
                <w:iCs/>
                <w:color w:val="000000"/>
                <w:sz w:val="16"/>
                <w:szCs w:val="16"/>
              </w:rPr>
              <w:t>it’s better to avoid frame format changes at this stage for the stability of the spec.</w:t>
            </w:r>
          </w:p>
        </w:tc>
      </w:tr>
      <w:tr w:rsidR="007668A3" w:rsidRPr="00955C14" w14:paraId="659F5F66" w14:textId="77777777" w:rsidTr="00882E24">
        <w:trPr>
          <w:trHeight w:val="449"/>
        </w:trPr>
        <w:tc>
          <w:tcPr>
            <w:tcW w:w="587" w:type="dxa"/>
            <w:shd w:val="clear" w:color="auto" w:fill="auto"/>
          </w:tcPr>
          <w:p w14:paraId="597A9778" w14:textId="39AE75D4" w:rsidR="007668A3" w:rsidRPr="007668A3" w:rsidRDefault="007668A3" w:rsidP="007668A3">
            <w:pPr>
              <w:pStyle w:val="T1"/>
              <w:suppressAutoHyphens/>
              <w:spacing w:after="120"/>
              <w:rPr>
                <w:b w:val="0"/>
                <w:sz w:val="16"/>
              </w:rPr>
            </w:pPr>
            <w:r w:rsidRPr="007668A3">
              <w:rPr>
                <w:b w:val="0"/>
                <w:sz w:val="16"/>
              </w:rPr>
              <w:t>10329</w:t>
            </w:r>
          </w:p>
        </w:tc>
        <w:tc>
          <w:tcPr>
            <w:tcW w:w="1034" w:type="dxa"/>
            <w:shd w:val="clear" w:color="auto" w:fill="auto"/>
          </w:tcPr>
          <w:p w14:paraId="4F11BE12" w14:textId="74EB08A0" w:rsidR="007668A3" w:rsidRPr="007668A3" w:rsidRDefault="007668A3" w:rsidP="007668A3">
            <w:pPr>
              <w:pStyle w:val="T1"/>
              <w:suppressAutoHyphens/>
              <w:spacing w:after="120"/>
              <w:rPr>
                <w:b w:val="0"/>
                <w:sz w:val="16"/>
              </w:rPr>
            </w:pPr>
            <w:proofErr w:type="spellStart"/>
            <w:r w:rsidRPr="007668A3">
              <w:rPr>
                <w:b w:val="0"/>
                <w:sz w:val="16"/>
              </w:rPr>
              <w:t>Mengshi</w:t>
            </w:r>
            <w:proofErr w:type="spellEnd"/>
            <w:r w:rsidRPr="007668A3">
              <w:rPr>
                <w:b w:val="0"/>
                <w:sz w:val="16"/>
              </w:rPr>
              <w:t xml:space="preserve"> Hu</w:t>
            </w:r>
          </w:p>
        </w:tc>
        <w:tc>
          <w:tcPr>
            <w:tcW w:w="976" w:type="dxa"/>
            <w:shd w:val="clear" w:color="auto" w:fill="auto"/>
          </w:tcPr>
          <w:p w14:paraId="76B58C75" w14:textId="77B6CE52" w:rsidR="007668A3" w:rsidRPr="007668A3" w:rsidRDefault="007668A3" w:rsidP="007668A3">
            <w:pPr>
              <w:pStyle w:val="T1"/>
              <w:suppressAutoHyphens/>
              <w:spacing w:after="120"/>
              <w:rPr>
                <w:b w:val="0"/>
                <w:sz w:val="16"/>
              </w:rPr>
            </w:pPr>
            <w:r w:rsidRPr="007668A3">
              <w:rPr>
                <w:b w:val="0"/>
                <w:sz w:val="16"/>
              </w:rPr>
              <w:t>9.3.1.22.2</w:t>
            </w:r>
          </w:p>
        </w:tc>
        <w:tc>
          <w:tcPr>
            <w:tcW w:w="635" w:type="dxa"/>
            <w:shd w:val="clear" w:color="auto" w:fill="auto"/>
          </w:tcPr>
          <w:p w14:paraId="2DDA4F21" w14:textId="3B1604B8" w:rsidR="007668A3" w:rsidRPr="007668A3" w:rsidRDefault="007668A3" w:rsidP="007668A3">
            <w:pPr>
              <w:pStyle w:val="T1"/>
              <w:suppressAutoHyphens/>
              <w:spacing w:after="120"/>
              <w:rPr>
                <w:b w:val="0"/>
                <w:sz w:val="16"/>
              </w:rPr>
            </w:pPr>
            <w:r w:rsidRPr="007668A3">
              <w:rPr>
                <w:b w:val="0"/>
                <w:sz w:val="16"/>
              </w:rPr>
              <w:t>146.13</w:t>
            </w:r>
          </w:p>
        </w:tc>
        <w:tc>
          <w:tcPr>
            <w:tcW w:w="2509" w:type="dxa"/>
            <w:shd w:val="clear" w:color="auto" w:fill="auto"/>
          </w:tcPr>
          <w:p w14:paraId="2B1A6AC0" w14:textId="56BFD418" w:rsidR="007668A3" w:rsidRPr="007668A3" w:rsidRDefault="007668A3" w:rsidP="007668A3">
            <w:pPr>
              <w:pStyle w:val="T1"/>
              <w:suppressAutoHyphens/>
              <w:spacing w:after="120"/>
              <w:jc w:val="left"/>
              <w:rPr>
                <w:b w:val="0"/>
                <w:sz w:val="16"/>
              </w:rPr>
            </w:pPr>
            <w:r w:rsidRPr="007668A3">
              <w:rPr>
                <w:b w:val="0"/>
                <w:sz w:val="16"/>
              </w:rPr>
              <w:t>It is confusing to mention "HE" in the Number Of HE/EHT-LTF Symbols subfield in the EHT variant common info field format. According to (Line 18, Page 145), it will be EHT variant common info field if B54 and B55 are equal to 1. In this case, why do we need HE here? Please add some clarifications.</w:t>
            </w:r>
          </w:p>
        </w:tc>
        <w:tc>
          <w:tcPr>
            <w:tcW w:w="2179" w:type="dxa"/>
            <w:shd w:val="clear" w:color="auto" w:fill="auto"/>
          </w:tcPr>
          <w:p w14:paraId="2F7DFF59" w14:textId="183880FA" w:rsidR="007668A3" w:rsidRPr="007668A3" w:rsidRDefault="007668A3" w:rsidP="007668A3">
            <w:pPr>
              <w:pStyle w:val="T1"/>
              <w:suppressAutoHyphens/>
              <w:spacing w:after="120"/>
              <w:jc w:val="left"/>
              <w:rPr>
                <w:b w:val="0"/>
                <w:sz w:val="16"/>
              </w:rPr>
            </w:pPr>
            <w:r w:rsidRPr="007668A3">
              <w:rPr>
                <w:b w:val="0"/>
                <w:sz w:val="16"/>
              </w:rPr>
              <w:t>As in the comment.</w:t>
            </w:r>
          </w:p>
        </w:tc>
        <w:tc>
          <w:tcPr>
            <w:tcW w:w="2790" w:type="dxa"/>
            <w:shd w:val="clear" w:color="auto" w:fill="auto"/>
          </w:tcPr>
          <w:p w14:paraId="0FB9CAA2" w14:textId="5C1F3284" w:rsidR="007668A3" w:rsidRDefault="004D48F9" w:rsidP="007668A3">
            <w:pPr>
              <w:pStyle w:val="T1"/>
              <w:suppressAutoHyphens/>
              <w:spacing w:after="120"/>
              <w:jc w:val="left"/>
              <w:rPr>
                <w:b w:val="0"/>
                <w:iCs/>
                <w:color w:val="000000"/>
                <w:sz w:val="16"/>
                <w:szCs w:val="16"/>
              </w:rPr>
            </w:pPr>
            <w:r>
              <w:rPr>
                <w:b w:val="0"/>
                <w:iCs/>
                <w:color w:val="000000"/>
                <w:sz w:val="16"/>
                <w:szCs w:val="16"/>
              </w:rPr>
              <w:t>Rejected.</w:t>
            </w:r>
            <w:r>
              <w:rPr>
                <w:b w:val="0"/>
                <w:iCs/>
                <w:color w:val="000000"/>
                <w:sz w:val="16"/>
                <w:szCs w:val="16"/>
              </w:rPr>
              <w:br/>
            </w:r>
            <w:r>
              <w:rPr>
                <w:b w:val="0"/>
                <w:iCs/>
                <w:color w:val="000000"/>
                <w:sz w:val="16"/>
                <w:szCs w:val="16"/>
              </w:rPr>
              <w:br/>
              <w:t xml:space="preserve">After offline discussion, the commenter prefers to keep the current text as is for the stability of the spec. </w:t>
            </w:r>
            <w:r w:rsidR="00377094">
              <w:rPr>
                <w:b w:val="0"/>
                <w:iCs/>
                <w:color w:val="000000"/>
                <w:sz w:val="16"/>
                <w:szCs w:val="16"/>
              </w:rPr>
              <w:t>The subfield and related spec text</w:t>
            </w:r>
            <w:r>
              <w:rPr>
                <w:b w:val="0"/>
                <w:iCs/>
                <w:color w:val="000000"/>
                <w:sz w:val="16"/>
                <w:szCs w:val="16"/>
              </w:rPr>
              <w:t xml:space="preserve"> </w:t>
            </w:r>
            <w:r w:rsidR="00B60441">
              <w:rPr>
                <w:b w:val="0"/>
                <w:iCs/>
                <w:color w:val="000000"/>
                <w:sz w:val="16"/>
                <w:szCs w:val="16"/>
              </w:rPr>
              <w:t>are</w:t>
            </w:r>
            <w:r>
              <w:rPr>
                <w:b w:val="0"/>
                <w:iCs/>
                <w:color w:val="000000"/>
                <w:sz w:val="16"/>
                <w:szCs w:val="16"/>
              </w:rPr>
              <w:t xml:space="preserve"> correct without any change and </w:t>
            </w:r>
            <w:r w:rsidR="00412176">
              <w:rPr>
                <w:b w:val="0"/>
                <w:iCs/>
                <w:color w:val="000000"/>
                <w:sz w:val="16"/>
                <w:szCs w:val="16"/>
              </w:rPr>
              <w:t xml:space="preserve">they were </w:t>
            </w:r>
            <w:r>
              <w:rPr>
                <w:b w:val="0"/>
                <w:iCs/>
                <w:color w:val="000000"/>
                <w:sz w:val="16"/>
                <w:szCs w:val="16"/>
              </w:rPr>
              <w:t xml:space="preserve">written in a way to serve as a stepping stone towards A-PPDU. Although A-PPDU will not be supported </w:t>
            </w:r>
            <w:r w:rsidR="007E78EA">
              <w:rPr>
                <w:b w:val="0"/>
                <w:iCs/>
                <w:color w:val="000000"/>
                <w:sz w:val="16"/>
                <w:szCs w:val="16"/>
              </w:rPr>
              <w:t xml:space="preserve">in 11be </w:t>
            </w:r>
            <w:r>
              <w:rPr>
                <w:b w:val="0"/>
                <w:iCs/>
                <w:color w:val="000000"/>
                <w:sz w:val="16"/>
                <w:szCs w:val="16"/>
              </w:rPr>
              <w:t>based on the group’s decision, similar to 16SS support, it’s better to avoid frame format changes at this stage for the stability of the spec</w:t>
            </w:r>
          </w:p>
        </w:tc>
      </w:tr>
      <w:tr w:rsidR="004E3232" w:rsidRPr="00955C14" w14:paraId="4BF7C050" w14:textId="77777777" w:rsidTr="00882E24">
        <w:trPr>
          <w:trHeight w:val="449"/>
        </w:trPr>
        <w:tc>
          <w:tcPr>
            <w:tcW w:w="587" w:type="dxa"/>
            <w:shd w:val="clear" w:color="auto" w:fill="auto"/>
          </w:tcPr>
          <w:p w14:paraId="3BAE761C" w14:textId="2A8499ED" w:rsidR="004E3232" w:rsidRPr="007668A3" w:rsidRDefault="004E3232" w:rsidP="004E3232">
            <w:pPr>
              <w:pStyle w:val="T1"/>
              <w:suppressAutoHyphens/>
              <w:spacing w:after="120"/>
              <w:rPr>
                <w:b w:val="0"/>
                <w:sz w:val="16"/>
              </w:rPr>
            </w:pPr>
            <w:r w:rsidRPr="003B1F49">
              <w:rPr>
                <w:b w:val="0"/>
                <w:sz w:val="16"/>
              </w:rPr>
              <w:t>11995</w:t>
            </w:r>
          </w:p>
        </w:tc>
        <w:tc>
          <w:tcPr>
            <w:tcW w:w="1034" w:type="dxa"/>
            <w:shd w:val="clear" w:color="auto" w:fill="auto"/>
          </w:tcPr>
          <w:p w14:paraId="2EF5E12C" w14:textId="3C11EC0B" w:rsidR="004E3232" w:rsidRPr="007668A3" w:rsidRDefault="004E3232" w:rsidP="004E3232">
            <w:pPr>
              <w:pStyle w:val="T1"/>
              <w:suppressAutoHyphens/>
              <w:spacing w:after="120"/>
              <w:rPr>
                <w:b w:val="0"/>
                <w:sz w:val="16"/>
              </w:rPr>
            </w:pPr>
            <w:r w:rsidRPr="003B1F49">
              <w:rPr>
                <w:b w:val="0"/>
                <w:sz w:val="16"/>
              </w:rPr>
              <w:t>Eunsung Park</w:t>
            </w:r>
          </w:p>
        </w:tc>
        <w:tc>
          <w:tcPr>
            <w:tcW w:w="976" w:type="dxa"/>
            <w:shd w:val="clear" w:color="auto" w:fill="auto"/>
          </w:tcPr>
          <w:p w14:paraId="29CC1606" w14:textId="16993EC3" w:rsidR="004E3232" w:rsidRPr="007668A3" w:rsidRDefault="004E3232" w:rsidP="004E3232">
            <w:pPr>
              <w:pStyle w:val="T1"/>
              <w:suppressAutoHyphens/>
              <w:spacing w:after="120"/>
              <w:rPr>
                <w:b w:val="0"/>
                <w:sz w:val="16"/>
              </w:rPr>
            </w:pPr>
            <w:r w:rsidRPr="003B1F49">
              <w:rPr>
                <w:b w:val="0"/>
                <w:sz w:val="16"/>
              </w:rPr>
              <w:t>9.3.1.22.2</w:t>
            </w:r>
          </w:p>
        </w:tc>
        <w:tc>
          <w:tcPr>
            <w:tcW w:w="635" w:type="dxa"/>
            <w:shd w:val="clear" w:color="auto" w:fill="auto"/>
          </w:tcPr>
          <w:p w14:paraId="1575B122" w14:textId="10096D60" w:rsidR="004E3232" w:rsidRPr="007668A3" w:rsidRDefault="004E3232" w:rsidP="004E3232">
            <w:pPr>
              <w:pStyle w:val="T1"/>
              <w:suppressAutoHyphens/>
              <w:spacing w:after="120"/>
              <w:rPr>
                <w:b w:val="0"/>
                <w:sz w:val="16"/>
              </w:rPr>
            </w:pPr>
            <w:r w:rsidRPr="003B1F49">
              <w:rPr>
                <w:b w:val="0"/>
                <w:sz w:val="16"/>
              </w:rPr>
              <w:t>146.10</w:t>
            </w:r>
          </w:p>
        </w:tc>
        <w:tc>
          <w:tcPr>
            <w:tcW w:w="2509" w:type="dxa"/>
            <w:shd w:val="clear" w:color="auto" w:fill="auto"/>
          </w:tcPr>
          <w:p w14:paraId="5F192DBB" w14:textId="54B5A7A2" w:rsidR="004E3232" w:rsidRPr="007668A3" w:rsidRDefault="004E3232" w:rsidP="004E3232">
            <w:pPr>
              <w:pStyle w:val="T1"/>
              <w:suppressAutoHyphens/>
              <w:spacing w:after="120"/>
              <w:jc w:val="left"/>
              <w:rPr>
                <w:b w:val="0"/>
                <w:sz w:val="16"/>
              </w:rPr>
            </w:pPr>
            <w:r w:rsidRPr="003B1F49">
              <w:rPr>
                <w:b w:val="0"/>
                <w:sz w:val="16"/>
              </w:rPr>
              <w:t>Since A-PPDU is not currently supported, HE-LTF doesn't have to be considered in the EHT variant Common Info field.</w:t>
            </w:r>
          </w:p>
        </w:tc>
        <w:tc>
          <w:tcPr>
            <w:tcW w:w="2179" w:type="dxa"/>
            <w:shd w:val="clear" w:color="auto" w:fill="auto"/>
          </w:tcPr>
          <w:p w14:paraId="63FC4A9B" w14:textId="57ECCEB0" w:rsidR="004E3232" w:rsidRPr="007668A3" w:rsidRDefault="004E3232" w:rsidP="004E3232">
            <w:pPr>
              <w:pStyle w:val="T1"/>
              <w:suppressAutoHyphens/>
              <w:spacing w:after="120"/>
              <w:jc w:val="left"/>
              <w:rPr>
                <w:b w:val="0"/>
                <w:sz w:val="16"/>
              </w:rPr>
            </w:pPr>
            <w:r w:rsidRPr="003B1F49">
              <w:rPr>
                <w:b w:val="0"/>
                <w:sz w:val="16"/>
              </w:rPr>
              <w:t>Change "GI And HE/EHT-LTF Type" to "GI And EHT-LTF Type". Change "Number Of HE/EHT-LTF Symbols" to "Number of EHT-LTF Symbols".</w:t>
            </w:r>
          </w:p>
        </w:tc>
        <w:tc>
          <w:tcPr>
            <w:tcW w:w="2790" w:type="dxa"/>
            <w:shd w:val="clear" w:color="auto" w:fill="auto"/>
          </w:tcPr>
          <w:p w14:paraId="60C6F6D2" w14:textId="14E6ECE5" w:rsidR="004E3232" w:rsidRDefault="004D48F9" w:rsidP="004E3232">
            <w:pPr>
              <w:pStyle w:val="T1"/>
              <w:suppressAutoHyphens/>
              <w:spacing w:after="120"/>
              <w:jc w:val="left"/>
              <w:rPr>
                <w:b w:val="0"/>
                <w:iCs/>
                <w:color w:val="000000"/>
                <w:sz w:val="16"/>
                <w:szCs w:val="16"/>
              </w:rPr>
            </w:pPr>
            <w:r>
              <w:rPr>
                <w:b w:val="0"/>
                <w:iCs/>
                <w:color w:val="000000"/>
                <w:sz w:val="16"/>
                <w:szCs w:val="16"/>
              </w:rPr>
              <w:t>Rejected.</w:t>
            </w:r>
            <w:r>
              <w:rPr>
                <w:b w:val="0"/>
                <w:iCs/>
                <w:color w:val="000000"/>
                <w:sz w:val="16"/>
                <w:szCs w:val="16"/>
              </w:rPr>
              <w:br/>
            </w:r>
            <w:r>
              <w:rPr>
                <w:b w:val="0"/>
                <w:iCs/>
                <w:color w:val="000000"/>
                <w:sz w:val="16"/>
                <w:szCs w:val="16"/>
              </w:rPr>
              <w:br/>
            </w:r>
            <w:r w:rsidR="003D1025">
              <w:rPr>
                <w:b w:val="0"/>
                <w:iCs/>
                <w:color w:val="000000"/>
                <w:sz w:val="16"/>
                <w:szCs w:val="16"/>
              </w:rPr>
              <w:t>The subfield and related spec text</w:t>
            </w:r>
            <w:r>
              <w:rPr>
                <w:b w:val="0"/>
                <w:iCs/>
                <w:color w:val="000000"/>
                <w:sz w:val="16"/>
                <w:szCs w:val="16"/>
              </w:rPr>
              <w:t xml:space="preserve"> </w:t>
            </w:r>
            <w:r w:rsidR="00B60441">
              <w:rPr>
                <w:b w:val="0"/>
                <w:iCs/>
                <w:color w:val="000000"/>
                <w:sz w:val="16"/>
                <w:szCs w:val="16"/>
              </w:rPr>
              <w:t>are</w:t>
            </w:r>
            <w:r>
              <w:rPr>
                <w:b w:val="0"/>
                <w:iCs/>
                <w:color w:val="000000"/>
                <w:sz w:val="16"/>
                <w:szCs w:val="16"/>
              </w:rPr>
              <w:t xml:space="preserve"> correct without any change and</w:t>
            </w:r>
            <w:r w:rsidR="007E78EA">
              <w:rPr>
                <w:b w:val="0"/>
                <w:iCs/>
                <w:color w:val="000000"/>
                <w:sz w:val="16"/>
                <w:szCs w:val="16"/>
              </w:rPr>
              <w:t xml:space="preserve"> they were</w:t>
            </w:r>
            <w:r>
              <w:rPr>
                <w:b w:val="0"/>
                <w:iCs/>
                <w:color w:val="000000"/>
                <w:sz w:val="16"/>
                <w:szCs w:val="16"/>
              </w:rPr>
              <w:t xml:space="preserve"> written in a way to serve as a stepping stone towards A-PPDU. Although A-PPDU will not be supported</w:t>
            </w:r>
            <w:r w:rsidR="007E78EA">
              <w:rPr>
                <w:b w:val="0"/>
                <w:iCs/>
                <w:color w:val="000000"/>
                <w:sz w:val="16"/>
                <w:szCs w:val="16"/>
              </w:rPr>
              <w:t xml:space="preserve"> in 11be</w:t>
            </w:r>
            <w:r>
              <w:rPr>
                <w:b w:val="0"/>
                <w:iCs/>
                <w:color w:val="000000"/>
                <w:sz w:val="16"/>
                <w:szCs w:val="16"/>
              </w:rPr>
              <w:t xml:space="preserve"> based on the group’s decision, similar to 16SS support, it’s better to avoid frame format changes at this stage for the stability of the spec</w:t>
            </w:r>
          </w:p>
        </w:tc>
      </w:tr>
      <w:tr w:rsidR="00B60441" w:rsidRPr="00955C14" w14:paraId="44C595F4" w14:textId="77777777" w:rsidTr="00882E24">
        <w:trPr>
          <w:trHeight w:val="449"/>
        </w:trPr>
        <w:tc>
          <w:tcPr>
            <w:tcW w:w="587" w:type="dxa"/>
            <w:shd w:val="clear" w:color="auto" w:fill="auto"/>
          </w:tcPr>
          <w:p w14:paraId="20031B16" w14:textId="2B804D5B" w:rsidR="00B60441" w:rsidRPr="00EA0E46" w:rsidRDefault="00B60441" w:rsidP="00B60441">
            <w:pPr>
              <w:pStyle w:val="T1"/>
              <w:suppressAutoHyphens/>
              <w:spacing w:after="120"/>
              <w:rPr>
                <w:b w:val="0"/>
                <w:sz w:val="16"/>
              </w:rPr>
            </w:pPr>
            <w:r w:rsidRPr="00EA0E46">
              <w:rPr>
                <w:b w:val="0"/>
                <w:sz w:val="16"/>
              </w:rPr>
              <w:t>10800</w:t>
            </w:r>
          </w:p>
        </w:tc>
        <w:tc>
          <w:tcPr>
            <w:tcW w:w="1034" w:type="dxa"/>
            <w:shd w:val="clear" w:color="auto" w:fill="auto"/>
          </w:tcPr>
          <w:p w14:paraId="3232DFED" w14:textId="742462A3" w:rsidR="00B60441" w:rsidRPr="00EA0E46" w:rsidRDefault="00B60441" w:rsidP="00B60441">
            <w:pPr>
              <w:pStyle w:val="T1"/>
              <w:suppressAutoHyphens/>
              <w:spacing w:after="120"/>
              <w:rPr>
                <w:b w:val="0"/>
                <w:sz w:val="16"/>
              </w:rPr>
            </w:pPr>
            <w:r w:rsidRPr="00EA0E46">
              <w:rPr>
                <w:b w:val="0"/>
                <w:sz w:val="16"/>
              </w:rPr>
              <w:t>Dong Guk Lim</w:t>
            </w:r>
          </w:p>
        </w:tc>
        <w:tc>
          <w:tcPr>
            <w:tcW w:w="976" w:type="dxa"/>
            <w:shd w:val="clear" w:color="auto" w:fill="auto"/>
          </w:tcPr>
          <w:p w14:paraId="64C56521" w14:textId="32E90B77" w:rsidR="00B60441" w:rsidRPr="00EA0E46" w:rsidRDefault="00B60441" w:rsidP="00B60441">
            <w:pPr>
              <w:pStyle w:val="T1"/>
              <w:suppressAutoHyphens/>
              <w:spacing w:after="120"/>
              <w:rPr>
                <w:b w:val="0"/>
                <w:sz w:val="16"/>
              </w:rPr>
            </w:pPr>
            <w:r w:rsidRPr="00EA0E46">
              <w:rPr>
                <w:b w:val="0"/>
                <w:sz w:val="16"/>
              </w:rPr>
              <w:t>9.3.1.22.2</w:t>
            </w:r>
          </w:p>
        </w:tc>
        <w:tc>
          <w:tcPr>
            <w:tcW w:w="635" w:type="dxa"/>
            <w:shd w:val="clear" w:color="auto" w:fill="auto"/>
          </w:tcPr>
          <w:p w14:paraId="03C5A19F" w14:textId="31699EA3" w:rsidR="00B60441" w:rsidRPr="00EA0E46" w:rsidRDefault="00B60441" w:rsidP="00B60441">
            <w:pPr>
              <w:pStyle w:val="T1"/>
              <w:suppressAutoHyphens/>
              <w:spacing w:after="120"/>
              <w:rPr>
                <w:b w:val="0"/>
                <w:sz w:val="16"/>
              </w:rPr>
            </w:pPr>
            <w:r w:rsidRPr="00EA0E46">
              <w:rPr>
                <w:b w:val="0"/>
                <w:sz w:val="16"/>
              </w:rPr>
              <w:t>146.40</w:t>
            </w:r>
          </w:p>
        </w:tc>
        <w:tc>
          <w:tcPr>
            <w:tcW w:w="2509" w:type="dxa"/>
            <w:shd w:val="clear" w:color="auto" w:fill="auto"/>
          </w:tcPr>
          <w:p w14:paraId="4FD60330" w14:textId="3BF794DA" w:rsidR="00B60441" w:rsidRPr="00EA0E46" w:rsidRDefault="00B60441" w:rsidP="00B60441">
            <w:pPr>
              <w:pStyle w:val="T1"/>
              <w:suppressAutoHyphens/>
              <w:spacing w:after="120"/>
              <w:jc w:val="left"/>
              <w:rPr>
                <w:b w:val="0"/>
                <w:sz w:val="16"/>
              </w:rPr>
            </w:pPr>
            <w:r w:rsidRPr="00EA0E46">
              <w:rPr>
                <w:b w:val="0"/>
                <w:sz w:val="16"/>
              </w:rPr>
              <w:t>EHT variant Common Info field is used for the EHT STA. So, it does not need to include the HE in each subfield in this field.</w:t>
            </w:r>
          </w:p>
        </w:tc>
        <w:tc>
          <w:tcPr>
            <w:tcW w:w="2179" w:type="dxa"/>
            <w:shd w:val="clear" w:color="auto" w:fill="auto"/>
          </w:tcPr>
          <w:p w14:paraId="60452BA4" w14:textId="24164D88" w:rsidR="00B60441" w:rsidRPr="00EA0E46" w:rsidRDefault="00B60441" w:rsidP="00B60441">
            <w:pPr>
              <w:pStyle w:val="T1"/>
              <w:suppressAutoHyphens/>
              <w:spacing w:after="120"/>
              <w:jc w:val="left"/>
              <w:rPr>
                <w:b w:val="0"/>
                <w:sz w:val="16"/>
              </w:rPr>
            </w:pPr>
            <w:r w:rsidRPr="00EA0E46">
              <w:rPr>
                <w:b w:val="0"/>
                <w:sz w:val="16"/>
              </w:rPr>
              <w:t>Modify all of "GI And HE/EHT-LTF Type/Triggered TXOP Sharing Mode " and "Number Of HE/EHT-LTF Symbols " to "GI And EHT-LTF Type/Triggered TXOP Sharing Mode "and "Number Of EHT-LTF Symbols ".</w:t>
            </w:r>
          </w:p>
        </w:tc>
        <w:tc>
          <w:tcPr>
            <w:tcW w:w="2790" w:type="dxa"/>
            <w:shd w:val="clear" w:color="auto" w:fill="auto"/>
          </w:tcPr>
          <w:p w14:paraId="58A81F4C" w14:textId="100EC52E" w:rsidR="00B60441" w:rsidRDefault="00B60441" w:rsidP="00B60441">
            <w:pPr>
              <w:pStyle w:val="T1"/>
              <w:suppressAutoHyphens/>
              <w:spacing w:after="120"/>
              <w:jc w:val="left"/>
              <w:rPr>
                <w:b w:val="0"/>
                <w:iCs/>
                <w:color w:val="000000"/>
                <w:sz w:val="16"/>
                <w:szCs w:val="16"/>
              </w:rPr>
            </w:pPr>
            <w:r>
              <w:rPr>
                <w:b w:val="0"/>
                <w:iCs/>
                <w:color w:val="000000"/>
                <w:sz w:val="16"/>
                <w:szCs w:val="16"/>
              </w:rPr>
              <w:t>Rejected.</w:t>
            </w:r>
            <w:r>
              <w:rPr>
                <w:b w:val="0"/>
                <w:iCs/>
                <w:color w:val="000000"/>
                <w:sz w:val="16"/>
                <w:szCs w:val="16"/>
              </w:rPr>
              <w:br/>
            </w:r>
            <w:r>
              <w:rPr>
                <w:b w:val="0"/>
                <w:iCs/>
                <w:color w:val="000000"/>
                <w:sz w:val="16"/>
                <w:szCs w:val="16"/>
              </w:rPr>
              <w:br/>
              <w:t>The subfield and related spec text are correct without any change and written in a way to serve as a stepping stone towards A-PPDU. Although A-PPDU will not be supported</w:t>
            </w:r>
            <w:r w:rsidR="007E78EA">
              <w:rPr>
                <w:b w:val="0"/>
                <w:iCs/>
                <w:color w:val="000000"/>
                <w:sz w:val="16"/>
                <w:szCs w:val="16"/>
              </w:rPr>
              <w:t xml:space="preserve"> in 11be</w:t>
            </w:r>
            <w:r>
              <w:rPr>
                <w:b w:val="0"/>
                <w:iCs/>
                <w:color w:val="000000"/>
                <w:sz w:val="16"/>
                <w:szCs w:val="16"/>
              </w:rPr>
              <w:t xml:space="preserve"> based on the group’s decision, similar to 16SS support, it’s better to avoid frame format changes at this stage for the stability of the spec</w:t>
            </w:r>
          </w:p>
        </w:tc>
      </w:tr>
      <w:tr w:rsidR="00B60441" w:rsidRPr="00955C14" w14:paraId="53F51525" w14:textId="77777777" w:rsidTr="00882E24">
        <w:trPr>
          <w:trHeight w:val="449"/>
        </w:trPr>
        <w:tc>
          <w:tcPr>
            <w:tcW w:w="587" w:type="dxa"/>
            <w:shd w:val="clear" w:color="auto" w:fill="auto"/>
          </w:tcPr>
          <w:p w14:paraId="15BCE102" w14:textId="7F8487C6" w:rsidR="00B60441" w:rsidRPr="00934561" w:rsidRDefault="00B60441" w:rsidP="00B60441">
            <w:pPr>
              <w:pStyle w:val="T1"/>
              <w:suppressAutoHyphens/>
              <w:spacing w:after="120"/>
              <w:rPr>
                <w:b w:val="0"/>
                <w:sz w:val="16"/>
              </w:rPr>
            </w:pPr>
            <w:r w:rsidRPr="00934561">
              <w:rPr>
                <w:b w:val="0"/>
                <w:sz w:val="16"/>
              </w:rPr>
              <w:t>10803</w:t>
            </w:r>
          </w:p>
        </w:tc>
        <w:tc>
          <w:tcPr>
            <w:tcW w:w="1034" w:type="dxa"/>
            <w:shd w:val="clear" w:color="auto" w:fill="auto"/>
          </w:tcPr>
          <w:p w14:paraId="0A10D110" w14:textId="1A59A381" w:rsidR="00B60441" w:rsidRPr="00934561" w:rsidRDefault="00B60441" w:rsidP="00B60441">
            <w:pPr>
              <w:pStyle w:val="T1"/>
              <w:suppressAutoHyphens/>
              <w:spacing w:after="120"/>
              <w:rPr>
                <w:b w:val="0"/>
                <w:sz w:val="16"/>
              </w:rPr>
            </w:pPr>
            <w:r w:rsidRPr="00934561">
              <w:rPr>
                <w:b w:val="0"/>
                <w:sz w:val="16"/>
              </w:rPr>
              <w:t>Dong Guk Lim</w:t>
            </w:r>
          </w:p>
        </w:tc>
        <w:tc>
          <w:tcPr>
            <w:tcW w:w="976" w:type="dxa"/>
            <w:shd w:val="clear" w:color="auto" w:fill="auto"/>
          </w:tcPr>
          <w:p w14:paraId="4231034B" w14:textId="7BE246FA" w:rsidR="00B60441" w:rsidRPr="00934561" w:rsidRDefault="00B60441" w:rsidP="00B60441">
            <w:pPr>
              <w:pStyle w:val="T1"/>
              <w:suppressAutoHyphens/>
              <w:spacing w:after="120"/>
              <w:rPr>
                <w:b w:val="0"/>
                <w:sz w:val="16"/>
              </w:rPr>
            </w:pPr>
            <w:r w:rsidRPr="00934561">
              <w:rPr>
                <w:b w:val="0"/>
                <w:sz w:val="16"/>
              </w:rPr>
              <w:t>9.3.1.22.5</w:t>
            </w:r>
          </w:p>
        </w:tc>
        <w:tc>
          <w:tcPr>
            <w:tcW w:w="635" w:type="dxa"/>
            <w:shd w:val="clear" w:color="auto" w:fill="auto"/>
          </w:tcPr>
          <w:p w14:paraId="6D581BBA" w14:textId="32C9F116" w:rsidR="00B60441" w:rsidRPr="00934561" w:rsidRDefault="00B60441" w:rsidP="00B60441">
            <w:pPr>
              <w:pStyle w:val="T1"/>
              <w:suppressAutoHyphens/>
              <w:spacing w:after="120"/>
              <w:rPr>
                <w:b w:val="0"/>
                <w:sz w:val="16"/>
              </w:rPr>
            </w:pPr>
            <w:r w:rsidRPr="00934561">
              <w:rPr>
                <w:b w:val="0"/>
                <w:sz w:val="16"/>
              </w:rPr>
              <w:t>165.60</w:t>
            </w:r>
          </w:p>
        </w:tc>
        <w:tc>
          <w:tcPr>
            <w:tcW w:w="2509" w:type="dxa"/>
            <w:shd w:val="clear" w:color="auto" w:fill="auto"/>
          </w:tcPr>
          <w:p w14:paraId="682C9359" w14:textId="0832B409" w:rsidR="00B60441" w:rsidRPr="00934561" w:rsidRDefault="00B60441" w:rsidP="00B60441">
            <w:pPr>
              <w:pStyle w:val="T1"/>
              <w:suppressAutoHyphens/>
              <w:spacing w:after="120"/>
              <w:jc w:val="left"/>
              <w:rPr>
                <w:b w:val="0"/>
                <w:sz w:val="16"/>
              </w:rPr>
            </w:pPr>
            <w:r w:rsidRPr="00934561">
              <w:rPr>
                <w:b w:val="0"/>
                <w:sz w:val="16"/>
              </w:rPr>
              <w:t xml:space="preserve">As described in table 9-45, the last row of this table allows that trigger frame contains both the HE variant user info field and the special user info field. So, in the above case, the special user info field can be included even though the EHT variant user field is not included. </w:t>
            </w:r>
            <w:r w:rsidRPr="00C8607F">
              <w:rPr>
                <w:bCs/>
                <w:sz w:val="16"/>
              </w:rPr>
              <w:t>Clarify it</w:t>
            </w:r>
            <w:r w:rsidRPr="00934561">
              <w:rPr>
                <w:b w:val="0"/>
                <w:sz w:val="16"/>
              </w:rPr>
              <w:t>.</w:t>
            </w:r>
          </w:p>
        </w:tc>
        <w:tc>
          <w:tcPr>
            <w:tcW w:w="2179" w:type="dxa"/>
            <w:shd w:val="clear" w:color="auto" w:fill="auto"/>
          </w:tcPr>
          <w:p w14:paraId="111DA303" w14:textId="1C3164FC" w:rsidR="00B60441" w:rsidRPr="00934561" w:rsidRDefault="00B60441" w:rsidP="00B60441">
            <w:pPr>
              <w:pStyle w:val="T1"/>
              <w:suppressAutoHyphens/>
              <w:spacing w:after="120"/>
              <w:jc w:val="left"/>
              <w:rPr>
                <w:b w:val="0"/>
                <w:sz w:val="16"/>
              </w:rPr>
            </w:pPr>
            <w:r w:rsidRPr="00934561">
              <w:rPr>
                <w:b w:val="0"/>
                <w:sz w:val="16"/>
              </w:rPr>
              <w:t>As in the comment.</w:t>
            </w:r>
          </w:p>
        </w:tc>
        <w:tc>
          <w:tcPr>
            <w:tcW w:w="2790" w:type="dxa"/>
            <w:shd w:val="clear" w:color="auto" w:fill="auto"/>
          </w:tcPr>
          <w:p w14:paraId="341459EC" w14:textId="699C98A5" w:rsidR="00B60441" w:rsidRDefault="00536890" w:rsidP="00B60441">
            <w:pPr>
              <w:pStyle w:val="T1"/>
              <w:suppressAutoHyphens/>
              <w:spacing w:after="120"/>
              <w:jc w:val="left"/>
              <w:rPr>
                <w:b w:val="0"/>
                <w:iCs/>
                <w:color w:val="000000"/>
                <w:sz w:val="16"/>
                <w:szCs w:val="16"/>
              </w:rPr>
            </w:pPr>
            <w:r>
              <w:rPr>
                <w:b w:val="0"/>
                <w:iCs/>
                <w:color w:val="000000"/>
                <w:sz w:val="16"/>
                <w:szCs w:val="16"/>
              </w:rPr>
              <w:t>Revised</w:t>
            </w:r>
          </w:p>
          <w:p w14:paraId="22523FC9" w14:textId="0E4B7200" w:rsidR="00FA1ABE" w:rsidRDefault="000235FC" w:rsidP="00247430">
            <w:pPr>
              <w:pStyle w:val="T1"/>
              <w:suppressAutoHyphens/>
              <w:spacing w:after="120"/>
              <w:jc w:val="left"/>
              <w:rPr>
                <w:b w:val="0"/>
                <w:iCs/>
                <w:color w:val="000000"/>
                <w:sz w:val="16"/>
                <w:szCs w:val="16"/>
              </w:rPr>
            </w:pPr>
            <w:r>
              <w:rPr>
                <w:b w:val="0"/>
                <w:iCs/>
                <w:color w:val="000000"/>
                <w:sz w:val="16"/>
                <w:szCs w:val="16"/>
              </w:rPr>
              <w:t xml:space="preserve">NOTE3 </w:t>
            </w:r>
            <w:r w:rsidR="00D35678">
              <w:rPr>
                <w:b w:val="0"/>
                <w:iCs/>
                <w:color w:val="000000"/>
                <w:sz w:val="16"/>
                <w:szCs w:val="16"/>
              </w:rPr>
              <w:t xml:space="preserve">referred to by the commenter </w:t>
            </w:r>
            <w:r>
              <w:rPr>
                <w:b w:val="0"/>
                <w:iCs/>
                <w:color w:val="000000"/>
                <w:sz w:val="16"/>
                <w:szCs w:val="16"/>
              </w:rPr>
              <w:t>is correct, as t</w:t>
            </w:r>
            <w:r w:rsidR="00536890">
              <w:rPr>
                <w:b w:val="0"/>
                <w:iCs/>
                <w:color w:val="000000"/>
                <w:sz w:val="16"/>
                <w:szCs w:val="16"/>
              </w:rPr>
              <w:t>he last row of table 9-45</w:t>
            </w:r>
            <w:r w:rsidR="000B7180">
              <w:rPr>
                <w:b w:val="0"/>
                <w:iCs/>
                <w:color w:val="000000"/>
                <w:sz w:val="16"/>
                <w:szCs w:val="16"/>
              </w:rPr>
              <w:t xml:space="preserve"> cannot be used in 11be </w:t>
            </w:r>
            <w:r>
              <w:rPr>
                <w:b w:val="0"/>
                <w:iCs/>
                <w:color w:val="000000"/>
                <w:sz w:val="16"/>
                <w:szCs w:val="16"/>
              </w:rPr>
              <w:t>(</w:t>
            </w:r>
            <w:r w:rsidR="000B7180">
              <w:rPr>
                <w:b w:val="0"/>
                <w:iCs/>
                <w:color w:val="000000"/>
                <w:sz w:val="16"/>
                <w:szCs w:val="16"/>
              </w:rPr>
              <w:t xml:space="preserve">the group has decided not support </w:t>
            </w:r>
            <w:r w:rsidR="0013763C">
              <w:rPr>
                <w:b w:val="0"/>
                <w:iCs/>
                <w:color w:val="000000"/>
                <w:sz w:val="16"/>
                <w:szCs w:val="16"/>
              </w:rPr>
              <w:t>A-PPDU in 11be</w:t>
            </w:r>
            <w:r>
              <w:rPr>
                <w:b w:val="0"/>
                <w:iCs/>
                <w:color w:val="000000"/>
                <w:sz w:val="16"/>
                <w:szCs w:val="16"/>
              </w:rPr>
              <w:t>)</w:t>
            </w:r>
            <w:r w:rsidR="0013763C">
              <w:rPr>
                <w:b w:val="0"/>
                <w:iCs/>
                <w:color w:val="000000"/>
                <w:sz w:val="16"/>
                <w:szCs w:val="16"/>
              </w:rPr>
              <w:t xml:space="preserve">. </w:t>
            </w:r>
            <w:r w:rsidR="00FA1ABE">
              <w:rPr>
                <w:b w:val="0"/>
                <w:iCs/>
                <w:color w:val="000000"/>
                <w:sz w:val="16"/>
                <w:szCs w:val="16"/>
              </w:rPr>
              <w:t xml:space="preserve">As a reference, </w:t>
            </w:r>
            <w:r w:rsidR="0013763C">
              <w:rPr>
                <w:b w:val="0"/>
                <w:iCs/>
                <w:color w:val="000000"/>
                <w:sz w:val="16"/>
                <w:szCs w:val="16"/>
              </w:rPr>
              <w:t>D2.1</w:t>
            </w:r>
            <w:r w:rsidR="00C535F2">
              <w:rPr>
                <w:b w:val="0"/>
                <w:iCs/>
                <w:color w:val="000000"/>
                <w:sz w:val="16"/>
                <w:szCs w:val="16"/>
              </w:rPr>
              <w:t xml:space="preserve"> has the following </w:t>
            </w:r>
            <w:r w:rsidR="00FA1ABE">
              <w:rPr>
                <w:b w:val="0"/>
                <w:iCs/>
                <w:color w:val="000000"/>
                <w:sz w:val="16"/>
                <w:szCs w:val="16"/>
              </w:rPr>
              <w:t>text to clarify that the last row of the table cannot be used</w:t>
            </w:r>
            <w:r w:rsidR="00231852">
              <w:rPr>
                <w:b w:val="0"/>
                <w:iCs/>
                <w:color w:val="000000"/>
                <w:sz w:val="16"/>
                <w:szCs w:val="16"/>
              </w:rPr>
              <w:t xml:space="preserve"> “</w:t>
            </w:r>
            <w:r w:rsidR="00247430" w:rsidRPr="00247430">
              <w:rPr>
                <w:b w:val="0"/>
                <w:iCs/>
                <w:color w:val="000000"/>
                <w:sz w:val="16"/>
                <w:szCs w:val="16"/>
              </w:rPr>
              <w:t xml:space="preserve">An EHT AP with dot11EHTBaseLineFeaturesImplementedOnly equal to true does not set [B54:B55] in the Common Info field to the value “10” in a Trigger frame. </w:t>
            </w:r>
            <w:r w:rsidR="00231852">
              <w:rPr>
                <w:b w:val="0"/>
                <w:iCs/>
                <w:color w:val="000000"/>
                <w:sz w:val="16"/>
                <w:szCs w:val="16"/>
              </w:rPr>
              <w:t>”</w:t>
            </w:r>
          </w:p>
          <w:p w14:paraId="16C2ABA7" w14:textId="77777777" w:rsidR="00B60441" w:rsidRDefault="00B60441" w:rsidP="00B60441">
            <w:pPr>
              <w:pStyle w:val="T1"/>
              <w:suppressAutoHyphens/>
              <w:spacing w:after="120"/>
              <w:jc w:val="left"/>
              <w:rPr>
                <w:b w:val="0"/>
                <w:iCs/>
                <w:color w:val="000000"/>
                <w:sz w:val="16"/>
                <w:szCs w:val="16"/>
              </w:rPr>
            </w:pPr>
          </w:p>
          <w:p w14:paraId="39037039" w14:textId="5AB9FA92" w:rsidR="00B60441" w:rsidRDefault="00B60441" w:rsidP="000235FC">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w:t>
            </w:r>
            <w:r w:rsidR="00FA1ABE">
              <w:rPr>
                <w:b w:val="0"/>
                <w:iCs/>
                <w:color w:val="000000"/>
                <w:sz w:val="16"/>
                <w:szCs w:val="16"/>
              </w:rPr>
              <w:t>, no further action is needed</w:t>
            </w:r>
          </w:p>
        </w:tc>
      </w:tr>
      <w:tr w:rsidR="00B60441" w:rsidRPr="00955C14" w14:paraId="49596BB4" w14:textId="77777777" w:rsidTr="00882E24">
        <w:trPr>
          <w:trHeight w:val="449"/>
        </w:trPr>
        <w:tc>
          <w:tcPr>
            <w:tcW w:w="587" w:type="dxa"/>
            <w:shd w:val="clear" w:color="auto" w:fill="auto"/>
          </w:tcPr>
          <w:p w14:paraId="026997B1" w14:textId="77EE6B40" w:rsidR="00B60441" w:rsidRPr="00BB3E87" w:rsidRDefault="00B60441" w:rsidP="00B60441">
            <w:pPr>
              <w:pStyle w:val="T1"/>
              <w:suppressAutoHyphens/>
              <w:spacing w:after="120"/>
              <w:rPr>
                <w:b w:val="0"/>
                <w:sz w:val="16"/>
              </w:rPr>
            </w:pPr>
            <w:r w:rsidRPr="00BB3E87">
              <w:rPr>
                <w:b w:val="0"/>
                <w:sz w:val="16"/>
              </w:rPr>
              <w:lastRenderedPageBreak/>
              <w:t>11492</w:t>
            </w:r>
          </w:p>
        </w:tc>
        <w:tc>
          <w:tcPr>
            <w:tcW w:w="1034" w:type="dxa"/>
            <w:shd w:val="clear" w:color="auto" w:fill="auto"/>
          </w:tcPr>
          <w:p w14:paraId="27ED080A" w14:textId="10956C91" w:rsidR="00B60441" w:rsidRPr="00BB3E87" w:rsidRDefault="00B60441" w:rsidP="00B60441">
            <w:pPr>
              <w:pStyle w:val="T1"/>
              <w:suppressAutoHyphens/>
              <w:spacing w:after="120"/>
              <w:rPr>
                <w:b w:val="0"/>
                <w:sz w:val="16"/>
              </w:rPr>
            </w:pPr>
            <w:r w:rsidRPr="00BB3E87">
              <w:rPr>
                <w:b w:val="0"/>
                <w:sz w:val="16"/>
              </w:rPr>
              <w:t>Xiaofei Wang</w:t>
            </w:r>
          </w:p>
        </w:tc>
        <w:tc>
          <w:tcPr>
            <w:tcW w:w="976" w:type="dxa"/>
            <w:shd w:val="clear" w:color="auto" w:fill="auto"/>
          </w:tcPr>
          <w:p w14:paraId="4B5A3DF4" w14:textId="4F72A2F5" w:rsidR="00B60441" w:rsidRPr="00BB3E87" w:rsidRDefault="00B60441" w:rsidP="00B60441">
            <w:pPr>
              <w:pStyle w:val="T1"/>
              <w:suppressAutoHyphens/>
              <w:spacing w:after="120"/>
              <w:rPr>
                <w:b w:val="0"/>
                <w:sz w:val="16"/>
              </w:rPr>
            </w:pPr>
            <w:r w:rsidRPr="00BB3E87">
              <w:rPr>
                <w:b w:val="0"/>
                <w:sz w:val="16"/>
              </w:rPr>
              <w:t>9.3.1.22.1</w:t>
            </w:r>
          </w:p>
        </w:tc>
        <w:tc>
          <w:tcPr>
            <w:tcW w:w="635" w:type="dxa"/>
            <w:shd w:val="clear" w:color="auto" w:fill="auto"/>
          </w:tcPr>
          <w:p w14:paraId="60078DB5" w14:textId="7BE27840" w:rsidR="00B60441" w:rsidRPr="00BB3E87" w:rsidRDefault="00B60441" w:rsidP="00B60441">
            <w:pPr>
              <w:pStyle w:val="T1"/>
              <w:suppressAutoHyphens/>
              <w:spacing w:after="120"/>
              <w:rPr>
                <w:b w:val="0"/>
                <w:sz w:val="16"/>
              </w:rPr>
            </w:pPr>
            <w:r w:rsidRPr="00BB3E87">
              <w:rPr>
                <w:b w:val="0"/>
                <w:sz w:val="16"/>
              </w:rPr>
              <w:t>144.43</w:t>
            </w:r>
          </w:p>
        </w:tc>
        <w:tc>
          <w:tcPr>
            <w:tcW w:w="2509" w:type="dxa"/>
            <w:shd w:val="clear" w:color="auto" w:fill="auto"/>
          </w:tcPr>
          <w:p w14:paraId="1CD45151" w14:textId="3A2C3AFE" w:rsidR="00B60441" w:rsidRPr="00BB3E87" w:rsidRDefault="00B60441" w:rsidP="00B60441">
            <w:pPr>
              <w:pStyle w:val="T1"/>
              <w:suppressAutoHyphens/>
              <w:spacing w:after="120"/>
              <w:jc w:val="left"/>
              <w:rPr>
                <w:b w:val="0"/>
                <w:sz w:val="16"/>
              </w:rPr>
            </w:pPr>
            <w:r w:rsidRPr="00BB3E87">
              <w:rPr>
                <w:b w:val="0"/>
                <w:sz w:val="16"/>
              </w:rPr>
              <w:t xml:space="preserve">Is Note 1 meant to be </w:t>
            </w:r>
            <w:r w:rsidRPr="00AD6BB5">
              <w:rPr>
                <w:bCs/>
                <w:sz w:val="16"/>
              </w:rPr>
              <w:t>normative</w:t>
            </w:r>
            <w:r w:rsidRPr="00BB3E87">
              <w:rPr>
                <w:b w:val="0"/>
                <w:sz w:val="16"/>
              </w:rPr>
              <w:t>? In that case, it should be stated as such.</w:t>
            </w:r>
          </w:p>
        </w:tc>
        <w:tc>
          <w:tcPr>
            <w:tcW w:w="2179" w:type="dxa"/>
            <w:shd w:val="clear" w:color="auto" w:fill="auto"/>
          </w:tcPr>
          <w:p w14:paraId="18404DDF" w14:textId="4DDFF2F8" w:rsidR="00B60441" w:rsidRPr="00BB3E87" w:rsidRDefault="00B60441" w:rsidP="00B60441">
            <w:pPr>
              <w:pStyle w:val="T1"/>
              <w:suppressAutoHyphens/>
              <w:spacing w:after="120"/>
              <w:jc w:val="left"/>
              <w:rPr>
                <w:b w:val="0"/>
                <w:sz w:val="16"/>
              </w:rPr>
            </w:pPr>
            <w:r w:rsidRPr="00BB3E87">
              <w:rPr>
                <w:b w:val="0"/>
                <w:sz w:val="16"/>
              </w:rPr>
              <w:t>as in comment</w:t>
            </w:r>
          </w:p>
        </w:tc>
        <w:tc>
          <w:tcPr>
            <w:tcW w:w="2790" w:type="dxa"/>
            <w:shd w:val="clear" w:color="auto" w:fill="auto"/>
          </w:tcPr>
          <w:p w14:paraId="5213531B" w14:textId="77777777" w:rsidR="00B60441" w:rsidRDefault="00B60441" w:rsidP="00B60441">
            <w:pPr>
              <w:pStyle w:val="T1"/>
              <w:suppressAutoHyphens/>
              <w:spacing w:after="120"/>
              <w:jc w:val="left"/>
              <w:rPr>
                <w:b w:val="0"/>
                <w:iCs/>
                <w:color w:val="000000"/>
                <w:sz w:val="16"/>
                <w:szCs w:val="16"/>
              </w:rPr>
            </w:pPr>
            <w:r>
              <w:rPr>
                <w:b w:val="0"/>
                <w:iCs/>
                <w:color w:val="000000"/>
                <w:sz w:val="16"/>
                <w:szCs w:val="16"/>
              </w:rPr>
              <w:t>Revised</w:t>
            </w:r>
          </w:p>
          <w:p w14:paraId="14A8CEC1" w14:textId="6F703B42" w:rsidR="00B60441" w:rsidRDefault="0090284E" w:rsidP="00DC5DDA">
            <w:pPr>
              <w:pStyle w:val="T1"/>
              <w:suppressAutoHyphens/>
              <w:spacing w:after="120"/>
              <w:jc w:val="left"/>
              <w:rPr>
                <w:b w:val="0"/>
                <w:iCs/>
                <w:color w:val="000000"/>
                <w:sz w:val="16"/>
                <w:szCs w:val="16"/>
              </w:rPr>
            </w:pPr>
            <w:r>
              <w:rPr>
                <w:b w:val="0"/>
                <w:iCs/>
                <w:color w:val="000000"/>
                <w:sz w:val="16"/>
                <w:szCs w:val="16"/>
              </w:rPr>
              <w:t xml:space="preserve">Agree with the commenter that normative text is needed. </w:t>
            </w:r>
            <w:r w:rsidR="008E5FAA">
              <w:rPr>
                <w:b w:val="0"/>
                <w:iCs/>
                <w:color w:val="000000"/>
                <w:sz w:val="16"/>
                <w:szCs w:val="16"/>
              </w:rPr>
              <w:t xml:space="preserve">NOTE1 of Table 9-45a is redundant </w:t>
            </w:r>
            <w:r w:rsidR="00E86210">
              <w:rPr>
                <w:b w:val="0"/>
                <w:iCs/>
                <w:color w:val="000000"/>
                <w:sz w:val="16"/>
                <w:szCs w:val="16"/>
              </w:rPr>
              <w:t xml:space="preserve">as there is corresponding normative text in D2.1. </w:t>
            </w:r>
            <w:r w:rsidR="00E86210">
              <w:rPr>
                <w:b w:val="0"/>
                <w:iCs/>
                <w:color w:val="000000"/>
                <w:sz w:val="16"/>
                <w:szCs w:val="16"/>
              </w:rPr>
              <w:br/>
            </w:r>
            <w:r w:rsidR="00E86210">
              <w:rPr>
                <w:b w:val="0"/>
                <w:iCs/>
                <w:color w:val="000000"/>
                <w:sz w:val="16"/>
                <w:szCs w:val="16"/>
              </w:rPr>
              <w:br/>
            </w:r>
            <w:r w:rsidR="00B60B25">
              <w:rPr>
                <w:b w:val="0"/>
                <w:iCs/>
                <w:color w:val="000000"/>
                <w:sz w:val="16"/>
                <w:szCs w:val="16"/>
              </w:rPr>
              <w:t xml:space="preserve">As reference, NOTE 1 </w:t>
            </w:r>
            <w:r w:rsidR="00DC5DDA">
              <w:rPr>
                <w:b w:val="0"/>
                <w:iCs/>
                <w:color w:val="000000"/>
                <w:sz w:val="16"/>
                <w:szCs w:val="16"/>
              </w:rPr>
              <w:t xml:space="preserve">in D2.0 </w:t>
            </w:r>
            <w:r w:rsidR="00B60B25">
              <w:rPr>
                <w:b w:val="0"/>
                <w:iCs/>
                <w:color w:val="000000"/>
                <w:sz w:val="16"/>
                <w:szCs w:val="16"/>
              </w:rPr>
              <w:t xml:space="preserve">cited by the commenter </w:t>
            </w:r>
            <w:r w:rsidR="00DC5DDA">
              <w:rPr>
                <w:b w:val="0"/>
                <w:iCs/>
                <w:color w:val="000000"/>
                <w:sz w:val="16"/>
                <w:szCs w:val="16"/>
              </w:rPr>
              <w:t>reads “</w:t>
            </w:r>
            <w:r w:rsidR="00DC5DDA" w:rsidRPr="00DC5DDA">
              <w:rPr>
                <w:b w:val="0"/>
                <w:iCs/>
                <w:color w:val="000000"/>
                <w:sz w:val="16"/>
                <w:szCs w:val="16"/>
              </w:rPr>
              <w:t>NOTE  1—A  non-AP  EHT  STA  withdot11EHTBaseLineFeaturesImplementedOnly  equal  to true does not respond with a TB PPDU to a Trigger frame that does not follow the combinations listed in this table (see 35.5.2.3.4 (Conditions for not responding with a TB PPDU)).</w:t>
            </w:r>
            <w:r w:rsidR="00DC5DDA">
              <w:rPr>
                <w:b w:val="0"/>
                <w:iCs/>
                <w:color w:val="000000"/>
                <w:sz w:val="16"/>
                <w:szCs w:val="16"/>
              </w:rPr>
              <w:t>”</w:t>
            </w:r>
          </w:p>
          <w:p w14:paraId="351F49A0" w14:textId="7039FE75" w:rsidR="00B60441" w:rsidRDefault="004F4D86" w:rsidP="00FB4FC3">
            <w:pPr>
              <w:pStyle w:val="T1"/>
              <w:suppressAutoHyphens/>
              <w:spacing w:after="120"/>
              <w:jc w:val="left"/>
              <w:rPr>
                <w:b w:val="0"/>
                <w:iCs/>
                <w:color w:val="000000"/>
                <w:sz w:val="16"/>
                <w:szCs w:val="16"/>
              </w:rPr>
            </w:pPr>
            <w:r>
              <w:rPr>
                <w:b w:val="0"/>
                <w:iCs/>
                <w:color w:val="000000"/>
                <w:sz w:val="16"/>
                <w:szCs w:val="16"/>
              </w:rPr>
              <w:t xml:space="preserve">There is </w:t>
            </w:r>
            <w:r w:rsidR="001B2352">
              <w:rPr>
                <w:b w:val="0"/>
                <w:iCs/>
                <w:color w:val="000000"/>
                <w:sz w:val="16"/>
                <w:szCs w:val="16"/>
              </w:rPr>
              <w:t xml:space="preserve">corresponding normative text in D2.1 now in </w:t>
            </w:r>
            <w:r w:rsidR="001B2352" w:rsidRPr="001B2352">
              <w:rPr>
                <w:b w:val="0"/>
                <w:iCs/>
                <w:color w:val="000000"/>
                <w:sz w:val="16"/>
                <w:szCs w:val="16"/>
              </w:rPr>
              <w:t>35.5.2.3.4</w:t>
            </w:r>
            <w:r w:rsidR="001B2352">
              <w:rPr>
                <w:b w:val="0"/>
                <w:iCs/>
                <w:color w:val="000000"/>
                <w:sz w:val="16"/>
                <w:szCs w:val="16"/>
              </w:rPr>
              <w:t>:</w:t>
            </w:r>
            <w:r w:rsidR="001B2352" w:rsidRPr="001B2352">
              <w:rPr>
                <w:b w:val="0"/>
                <w:iCs/>
                <w:color w:val="000000"/>
                <w:sz w:val="16"/>
                <w:szCs w:val="16"/>
              </w:rPr>
              <w:t xml:space="preserve"> </w:t>
            </w:r>
            <w:r w:rsidR="000C0FEC">
              <w:rPr>
                <w:b w:val="0"/>
                <w:iCs/>
                <w:color w:val="000000"/>
                <w:sz w:val="16"/>
                <w:szCs w:val="16"/>
              </w:rPr>
              <w:t xml:space="preserve"> “</w:t>
            </w:r>
            <w:r w:rsidR="000C0FEC" w:rsidRPr="000C0FEC">
              <w:rPr>
                <w:b w:val="0"/>
                <w:iCs/>
                <w:color w:val="000000"/>
                <w:sz w:val="16"/>
                <w:szCs w:val="16"/>
              </w:rPr>
              <w:t xml:space="preserve">If a non-AP EHT STA is solicited to send a TB PPDU by a Trigger frame and the combination of the B54 and B55 in the Common Info field, the B39 in the User Info field addressed to it in the Trigger frame does not match any of the combinations of the values specified in the rows in Table 9-45a (Valid combinations of </w:t>
            </w:r>
            <w:r w:rsidR="00FB4FC3">
              <w:rPr>
                <w:b w:val="0"/>
                <w:iCs/>
                <w:color w:val="000000"/>
                <w:sz w:val="16"/>
                <w:szCs w:val="16"/>
              </w:rPr>
              <w:t xml:space="preserve"> </w:t>
            </w:r>
            <w:r w:rsidR="00FB4FC3" w:rsidRPr="00FB4FC3">
              <w:rPr>
                <w:b w:val="0"/>
                <w:iCs/>
                <w:color w:val="000000"/>
                <w:sz w:val="16"/>
                <w:szCs w:val="16"/>
              </w:rPr>
              <w:t>B54 and B55 in the Common Info field, B39 in the User Info field, and solicited TB PPDU format), then the STA shall not respond with a TB PPDU to the Trigger frame.</w:t>
            </w:r>
            <w:r w:rsidR="000C0FEC">
              <w:rPr>
                <w:b w:val="0"/>
                <w:iCs/>
                <w:color w:val="000000"/>
                <w:sz w:val="16"/>
                <w:szCs w:val="16"/>
              </w:rPr>
              <w:t>”</w:t>
            </w:r>
            <w:r w:rsidR="00293A28">
              <w:rPr>
                <w:b w:val="0"/>
                <w:iCs/>
                <w:color w:val="000000"/>
                <w:sz w:val="16"/>
                <w:szCs w:val="16"/>
              </w:rPr>
              <w:t xml:space="preserve">. </w:t>
            </w:r>
          </w:p>
          <w:p w14:paraId="3568013F" w14:textId="77777777" w:rsidR="00B60441" w:rsidRDefault="00B60441" w:rsidP="00B60441">
            <w:pPr>
              <w:pStyle w:val="T1"/>
              <w:suppressAutoHyphens/>
              <w:spacing w:after="120"/>
              <w:jc w:val="left"/>
              <w:rPr>
                <w:b w:val="0"/>
                <w:iCs/>
                <w:color w:val="000000"/>
                <w:sz w:val="16"/>
                <w:szCs w:val="16"/>
              </w:rPr>
            </w:pPr>
          </w:p>
          <w:p w14:paraId="75F81563" w14:textId="772D9195" w:rsidR="00B60441" w:rsidRPr="005E3C6C" w:rsidRDefault="00B60441" w:rsidP="00B60441">
            <w:pPr>
              <w:pStyle w:val="T1"/>
              <w:suppressAutoHyphens/>
              <w:spacing w:after="120"/>
              <w:jc w:val="left"/>
              <w:rPr>
                <w:bCs/>
                <w:iCs/>
                <w:color w:val="000000"/>
                <w:sz w:val="16"/>
                <w:szCs w:val="16"/>
              </w:rPr>
            </w:pPr>
            <w:proofErr w:type="spellStart"/>
            <w:r w:rsidRPr="005E3C6C">
              <w:rPr>
                <w:bCs/>
                <w:iCs/>
                <w:color w:val="000000"/>
                <w:sz w:val="16"/>
                <w:szCs w:val="16"/>
              </w:rPr>
              <w:t>Tgbe</w:t>
            </w:r>
            <w:proofErr w:type="spellEnd"/>
            <w:r w:rsidRPr="005E3C6C">
              <w:rPr>
                <w:bCs/>
                <w:iCs/>
                <w:color w:val="000000"/>
                <w:sz w:val="16"/>
                <w:szCs w:val="16"/>
              </w:rPr>
              <w:t xml:space="preserve"> editor please</w:t>
            </w:r>
            <w:r w:rsidR="004012E1" w:rsidRPr="005E3C6C">
              <w:rPr>
                <w:bCs/>
                <w:iCs/>
                <w:color w:val="000000"/>
                <w:sz w:val="16"/>
                <w:szCs w:val="16"/>
              </w:rPr>
              <w:t xml:space="preserve"> delete NOTE1 of Table 9-45a</w:t>
            </w:r>
            <w:r w:rsidR="00F8137C" w:rsidRPr="005E3C6C">
              <w:rPr>
                <w:bCs/>
                <w:iCs/>
                <w:color w:val="000000"/>
                <w:sz w:val="16"/>
                <w:szCs w:val="16"/>
              </w:rPr>
              <w:t xml:space="preserve"> in P146L47</w:t>
            </w:r>
            <w:r w:rsidR="00D7579A" w:rsidRPr="005E3C6C">
              <w:rPr>
                <w:bCs/>
                <w:iCs/>
                <w:color w:val="000000"/>
                <w:sz w:val="16"/>
                <w:szCs w:val="16"/>
              </w:rPr>
              <w:t xml:space="preserve"> in D2.1</w:t>
            </w:r>
          </w:p>
        </w:tc>
      </w:tr>
      <w:tr w:rsidR="00497DA7" w:rsidRPr="00955C14" w14:paraId="5745BB6C" w14:textId="77777777" w:rsidTr="00882E24">
        <w:trPr>
          <w:trHeight w:val="449"/>
        </w:trPr>
        <w:tc>
          <w:tcPr>
            <w:tcW w:w="587" w:type="dxa"/>
            <w:shd w:val="clear" w:color="auto" w:fill="auto"/>
          </w:tcPr>
          <w:p w14:paraId="78B262AE" w14:textId="0FF87280" w:rsidR="00497DA7" w:rsidRPr="006145CF" w:rsidRDefault="00497DA7" w:rsidP="00497DA7">
            <w:pPr>
              <w:pStyle w:val="T1"/>
              <w:suppressAutoHyphens/>
              <w:spacing w:after="120"/>
              <w:rPr>
                <w:b w:val="0"/>
                <w:sz w:val="16"/>
              </w:rPr>
            </w:pPr>
            <w:r w:rsidRPr="008502B7">
              <w:rPr>
                <w:b w:val="0"/>
                <w:sz w:val="16"/>
              </w:rPr>
              <w:t>10799</w:t>
            </w:r>
          </w:p>
        </w:tc>
        <w:tc>
          <w:tcPr>
            <w:tcW w:w="1034" w:type="dxa"/>
            <w:shd w:val="clear" w:color="auto" w:fill="auto"/>
          </w:tcPr>
          <w:p w14:paraId="6E80B0A2" w14:textId="494D4934" w:rsidR="00497DA7" w:rsidRPr="006145CF" w:rsidRDefault="00497DA7" w:rsidP="00497DA7">
            <w:pPr>
              <w:pStyle w:val="T1"/>
              <w:suppressAutoHyphens/>
              <w:spacing w:after="120"/>
              <w:rPr>
                <w:b w:val="0"/>
                <w:sz w:val="16"/>
              </w:rPr>
            </w:pPr>
            <w:r w:rsidRPr="008502B7">
              <w:rPr>
                <w:b w:val="0"/>
                <w:sz w:val="16"/>
              </w:rPr>
              <w:t>Dong Guk Lim</w:t>
            </w:r>
          </w:p>
        </w:tc>
        <w:tc>
          <w:tcPr>
            <w:tcW w:w="976" w:type="dxa"/>
            <w:shd w:val="clear" w:color="auto" w:fill="auto"/>
          </w:tcPr>
          <w:p w14:paraId="5A0527C4" w14:textId="34FE2C47" w:rsidR="00497DA7" w:rsidRPr="006145CF" w:rsidRDefault="00497DA7" w:rsidP="00497DA7">
            <w:pPr>
              <w:pStyle w:val="T1"/>
              <w:suppressAutoHyphens/>
              <w:spacing w:after="120"/>
              <w:rPr>
                <w:b w:val="0"/>
                <w:sz w:val="16"/>
              </w:rPr>
            </w:pPr>
            <w:r w:rsidRPr="008502B7">
              <w:rPr>
                <w:b w:val="0"/>
                <w:sz w:val="16"/>
              </w:rPr>
              <w:t>9.3.1.22.1</w:t>
            </w:r>
          </w:p>
        </w:tc>
        <w:tc>
          <w:tcPr>
            <w:tcW w:w="635" w:type="dxa"/>
            <w:shd w:val="clear" w:color="auto" w:fill="auto"/>
          </w:tcPr>
          <w:p w14:paraId="12D38038" w14:textId="15F57836" w:rsidR="00497DA7" w:rsidRPr="006145CF" w:rsidRDefault="00497DA7" w:rsidP="00497DA7">
            <w:pPr>
              <w:pStyle w:val="T1"/>
              <w:suppressAutoHyphens/>
              <w:spacing w:after="120"/>
              <w:rPr>
                <w:b w:val="0"/>
                <w:sz w:val="16"/>
              </w:rPr>
            </w:pPr>
            <w:r w:rsidRPr="008502B7">
              <w:rPr>
                <w:b w:val="0"/>
                <w:sz w:val="16"/>
              </w:rPr>
              <w:t>144.52</w:t>
            </w:r>
          </w:p>
        </w:tc>
        <w:tc>
          <w:tcPr>
            <w:tcW w:w="2509" w:type="dxa"/>
            <w:shd w:val="clear" w:color="auto" w:fill="auto"/>
          </w:tcPr>
          <w:p w14:paraId="56EA9B0A" w14:textId="05116FFC" w:rsidR="00497DA7" w:rsidRPr="006145CF" w:rsidRDefault="00497DA7" w:rsidP="00497DA7">
            <w:pPr>
              <w:pStyle w:val="T1"/>
              <w:suppressAutoHyphens/>
              <w:spacing w:after="120"/>
              <w:jc w:val="left"/>
              <w:rPr>
                <w:b w:val="0"/>
                <w:sz w:val="16"/>
              </w:rPr>
            </w:pPr>
            <w:r w:rsidRPr="008502B7">
              <w:rPr>
                <w:b w:val="0"/>
                <w:sz w:val="16"/>
              </w:rPr>
              <w:t>In tale 9-45a, Note 2 notified that an EHT AP is possible to set  [B54: B55] as 10 in a trigger frame. So, this sentence is able to make confusing. Delete it .</w:t>
            </w:r>
          </w:p>
        </w:tc>
        <w:tc>
          <w:tcPr>
            <w:tcW w:w="2179" w:type="dxa"/>
            <w:shd w:val="clear" w:color="auto" w:fill="auto"/>
          </w:tcPr>
          <w:p w14:paraId="014ABF67" w14:textId="0901CB26" w:rsidR="00497DA7" w:rsidRPr="006145CF" w:rsidRDefault="00497DA7" w:rsidP="00497DA7">
            <w:pPr>
              <w:pStyle w:val="T1"/>
              <w:suppressAutoHyphens/>
              <w:spacing w:after="120"/>
              <w:jc w:val="left"/>
              <w:rPr>
                <w:b w:val="0"/>
                <w:sz w:val="16"/>
              </w:rPr>
            </w:pPr>
            <w:r w:rsidRPr="008502B7">
              <w:rPr>
                <w:b w:val="0"/>
                <w:sz w:val="16"/>
              </w:rPr>
              <w:t>As in the comment.</w:t>
            </w:r>
          </w:p>
        </w:tc>
        <w:tc>
          <w:tcPr>
            <w:tcW w:w="2790" w:type="dxa"/>
            <w:shd w:val="clear" w:color="auto" w:fill="auto"/>
          </w:tcPr>
          <w:p w14:paraId="24DB37EA" w14:textId="77777777" w:rsidR="00497DA7" w:rsidRDefault="00497DA7" w:rsidP="00497DA7">
            <w:pPr>
              <w:pStyle w:val="T1"/>
              <w:suppressAutoHyphens/>
              <w:spacing w:after="120"/>
              <w:jc w:val="left"/>
              <w:rPr>
                <w:b w:val="0"/>
                <w:iCs/>
                <w:color w:val="000000"/>
                <w:sz w:val="16"/>
                <w:szCs w:val="16"/>
              </w:rPr>
            </w:pPr>
            <w:r>
              <w:rPr>
                <w:b w:val="0"/>
                <w:iCs/>
                <w:color w:val="000000"/>
                <w:sz w:val="16"/>
                <w:szCs w:val="16"/>
              </w:rPr>
              <w:t>Revised</w:t>
            </w:r>
          </w:p>
          <w:p w14:paraId="08FCCDF3" w14:textId="77777777" w:rsidR="00497DA7" w:rsidRDefault="00497DA7" w:rsidP="00497DA7">
            <w:pPr>
              <w:pStyle w:val="T1"/>
              <w:suppressAutoHyphens/>
              <w:spacing w:after="120"/>
              <w:jc w:val="left"/>
              <w:rPr>
                <w:b w:val="0"/>
                <w:iCs/>
                <w:color w:val="000000"/>
                <w:sz w:val="16"/>
                <w:szCs w:val="16"/>
              </w:rPr>
            </w:pPr>
          </w:p>
          <w:p w14:paraId="657590C2" w14:textId="47A6E35E" w:rsidR="00497DA7" w:rsidRDefault="00497DA7" w:rsidP="00497DA7">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C35ECD">
              <w:rPr>
                <w:b w:val="0"/>
                <w:iCs/>
                <w:color w:val="000000"/>
                <w:sz w:val="16"/>
                <w:szCs w:val="16"/>
              </w:rPr>
              <w:t xml:space="preserve">NOTE2 was related to A-PPDU. </w:t>
            </w:r>
            <w:r>
              <w:rPr>
                <w:b w:val="0"/>
                <w:iCs/>
                <w:color w:val="000000"/>
                <w:sz w:val="16"/>
                <w:szCs w:val="16"/>
              </w:rPr>
              <w:t xml:space="preserve">As the group has decided not to support A-PPDU in 11be,  </w:t>
            </w:r>
            <w:r w:rsidR="00C35ECD">
              <w:rPr>
                <w:b w:val="0"/>
                <w:iCs/>
                <w:color w:val="000000"/>
                <w:sz w:val="16"/>
                <w:szCs w:val="16"/>
              </w:rPr>
              <w:t xml:space="preserve">NOTE 2 </w:t>
            </w:r>
            <w:r>
              <w:rPr>
                <w:b w:val="0"/>
                <w:iCs/>
                <w:color w:val="000000"/>
                <w:sz w:val="16"/>
                <w:szCs w:val="16"/>
              </w:rPr>
              <w:t>should be deleted to avoid confusion.</w:t>
            </w:r>
          </w:p>
          <w:p w14:paraId="6A3F4621" w14:textId="77777777" w:rsidR="00497DA7" w:rsidRDefault="00497DA7" w:rsidP="00497DA7">
            <w:pPr>
              <w:pStyle w:val="T1"/>
              <w:suppressAutoHyphens/>
              <w:spacing w:after="120"/>
              <w:jc w:val="left"/>
              <w:rPr>
                <w:b w:val="0"/>
                <w:iCs/>
                <w:color w:val="000000"/>
                <w:sz w:val="16"/>
                <w:szCs w:val="16"/>
              </w:rPr>
            </w:pPr>
          </w:p>
          <w:p w14:paraId="2B9D940F" w14:textId="41A73A6D" w:rsidR="00497DA7" w:rsidRDefault="00C35ECD" w:rsidP="00497DA7">
            <w:pPr>
              <w:pStyle w:val="T1"/>
              <w:suppressAutoHyphens/>
              <w:spacing w:after="120"/>
              <w:jc w:val="left"/>
              <w:rPr>
                <w:b w:val="0"/>
                <w:iCs/>
                <w:color w:val="000000"/>
                <w:sz w:val="16"/>
                <w:szCs w:val="16"/>
              </w:rPr>
            </w:pPr>
            <w:proofErr w:type="spellStart"/>
            <w:r w:rsidRPr="005E3C6C">
              <w:rPr>
                <w:bCs/>
                <w:iCs/>
                <w:color w:val="000000"/>
                <w:sz w:val="16"/>
                <w:szCs w:val="16"/>
              </w:rPr>
              <w:t>Tgbe</w:t>
            </w:r>
            <w:proofErr w:type="spellEnd"/>
            <w:r w:rsidRPr="005E3C6C">
              <w:rPr>
                <w:bCs/>
                <w:iCs/>
                <w:color w:val="000000"/>
                <w:sz w:val="16"/>
                <w:szCs w:val="16"/>
              </w:rPr>
              <w:t xml:space="preserve"> editor please delete NOTE</w:t>
            </w:r>
            <w:r>
              <w:rPr>
                <w:bCs/>
                <w:iCs/>
                <w:color w:val="000000"/>
                <w:sz w:val="16"/>
                <w:szCs w:val="16"/>
              </w:rPr>
              <w:t>2</w:t>
            </w:r>
            <w:r w:rsidRPr="005E3C6C">
              <w:rPr>
                <w:bCs/>
                <w:iCs/>
                <w:color w:val="000000"/>
                <w:sz w:val="16"/>
                <w:szCs w:val="16"/>
              </w:rPr>
              <w:t xml:space="preserve"> of Table 9-45a in P146L</w:t>
            </w:r>
            <w:r w:rsidR="002F3FD0">
              <w:rPr>
                <w:bCs/>
                <w:iCs/>
                <w:color w:val="000000"/>
                <w:sz w:val="16"/>
                <w:szCs w:val="16"/>
              </w:rPr>
              <w:t>51</w:t>
            </w:r>
            <w:r w:rsidRPr="005E3C6C">
              <w:rPr>
                <w:bCs/>
                <w:iCs/>
                <w:color w:val="000000"/>
                <w:sz w:val="16"/>
                <w:szCs w:val="16"/>
              </w:rPr>
              <w:t xml:space="preserve"> in D2.1</w:t>
            </w:r>
          </w:p>
        </w:tc>
      </w:tr>
      <w:tr w:rsidR="00497DA7" w:rsidRPr="00955C14" w14:paraId="66148FEA" w14:textId="77777777" w:rsidTr="00882E24">
        <w:trPr>
          <w:trHeight w:val="449"/>
        </w:trPr>
        <w:tc>
          <w:tcPr>
            <w:tcW w:w="587" w:type="dxa"/>
            <w:shd w:val="clear" w:color="auto" w:fill="auto"/>
          </w:tcPr>
          <w:p w14:paraId="5C4BE7E7" w14:textId="0B3D0B45" w:rsidR="00497DA7" w:rsidRPr="006145CF" w:rsidRDefault="00497DA7" w:rsidP="00497DA7">
            <w:pPr>
              <w:pStyle w:val="T1"/>
              <w:suppressAutoHyphens/>
              <w:spacing w:after="120"/>
              <w:rPr>
                <w:b w:val="0"/>
                <w:sz w:val="16"/>
              </w:rPr>
            </w:pPr>
            <w:r w:rsidRPr="006145CF">
              <w:rPr>
                <w:b w:val="0"/>
                <w:sz w:val="16"/>
              </w:rPr>
              <w:t>13455</w:t>
            </w:r>
          </w:p>
        </w:tc>
        <w:tc>
          <w:tcPr>
            <w:tcW w:w="1034" w:type="dxa"/>
            <w:shd w:val="clear" w:color="auto" w:fill="auto"/>
          </w:tcPr>
          <w:p w14:paraId="670C8320" w14:textId="3FE5FE4E" w:rsidR="00497DA7" w:rsidRPr="006145CF" w:rsidRDefault="00497DA7" w:rsidP="00497DA7">
            <w:pPr>
              <w:pStyle w:val="T1"/>
              <w:suppressAutoHyphens/>
              <w:spacing w:after="120"/>
              <w:rPr>
                <w:b w:val="0"/>
                <w:sz w:val="16"/>
              </w:rPr>
            </w:pPr>
            <w:r w:rsidRPr="006145CF">
              <w:rPr>
                <w:b w:val="0"/>
                <w:sz w:val="16"/>
              </w:rPr>
              <w:t>Liwen Chu</w:t>
            </w:r>
          </w:p>
        </w:tc>
        <w:tc>
          <w:tcPr>
            <w:tcW w:w="976" w:type="dxa"/>
            <w:shd w:val="clear" w:color="auto" w:fill="auto"/>
          </w:tcPr>
          <w:p w14:paraId="660F4647" w14:textId="7559BE90" w:rsidR="00497DA7" w:rsidRPr="006145CF" w:rsidRDefault="00497DA7" w:rsidP="00497DA7">
            <w:pPr>
              <w:pStyle w:val="T1"/>
              <w:suppressAutoHyphens/>
              <w:spacing w:after="120"/>
              <w:rPr>
                <w:b w:val="0"/>
                <w:sz w:val="16"/>
              </w:rPr>
            </w:pPr>
            <w:r w:rsidRPr="006145CF">
              <w:rPr>
                <w:b w:val="0"/>
                <w:sz w:val="16"/>
              </w:rPr>
              <w:t>9.3.1.19</w:t>
            </w:r>
          </w:p>
        </w:tc>
        <w:tc>
          <w:tcPr>
            <w:tcW w:w="635" w:type="dxa"/>
            <w:shd w:val="clear" w:color="auto" w:fill="auto"/>
          </w:tcPr>
          <w:p w14:paraId="730801F5" w14:textId="0EF09E6A" w:rsidR="00497DA7" w:rsidRPr="006145CF" w:rsidRDefault="00497DA7" w:rsidP="00497DA7">
            <w:pPr>
              <w:pStyle w:val="T1"/>
              <w:suppressAutoHyphens/>
              <w:spacing w:after="120"/>
              <w:rPr>
                <w:b w:val="0"/>
                <w:sz w:val="16"/>
              </w:rPr>
            </w:pPr>
            <w:r w:rsidRPr="006145CF">
              <w:rPr>
                <w:b w:val="0"/>
                <w:sz w:val="16"/>
              </w:rPr>
              <w:t>144.47</w:t>
            </w:r>
          </w:p>
        </w:tc>
        <w:tc>
          <w:tcPr>
            <w:tcW w:w="2509" w:type="dxa"/>
            <w:shd w:val="clear" w:color="auto" w:fill="auto"/>
          </w:tcPr>
          <w:p w14:paraId="154010FD" w14:textId="3FFA04FA" w:rsidR="00497DA7" w:rsidRPr="006145CF" w:rsidRDefault="00497DA7" w:rsidP="00497DA7">
            <w:pPr>
              <w:pStyle w:val="T1"/>
              <w:suppressAutoHyphens/>
              <w:spacing w:after="120"/>
              <w:jc w:val="left"/>
              <w:rPr>
                <w:b w:val="0"/>
                <w:sz w:val="16"/>
              </w:rPr>
            </w:pPr>
            <w:r w:rsidRPr="006145CF">
              <w:rPr>
                <w:b w:val="0"/>
                <w:sz w:val="16"/>
              </w:rPr>
              <w:t>I assume that Note 2 is also applied to HE STA.</w:t>
            </w:r>
          </w:p>
        </w:tc>
        <w:tc>
          <w:tcPr>
            <w:tcW w:w="2179" w:type="dxa"/>
            <w:shd w:val="clear" w:color="auto" w:fill="auto"/>
          </w:tcPr>
          <w:p w14:paraId="55D86C7C" w14:textId="759DB4B2" w:rsidR="00497DA7" w:rsidRPr="006145CF" w:rsidRDefault="00497DA7" w:rsidP="00497DA7">
            <w:pPr>
              <w:pStyle w:val="T1"/>
              <w:suppressAutoHyphens/>
              <w:spacing w:after="120"/>
              <w:jc w:val="left"/>
              <w:rPr>
                <w:b w:val="0"/>
                <w:sz w:val="16"/>
              </w:rPr>
            </w:pPr>
            <w:r w:rsidRPr="006145CF">
              <w:rPr>
                <w:b w:val="0"/>
                <w:sz w:val="16"/>
              </w:rPr>
              <w:t>As in comment</w:t>
            </w:r>
          </w:p>
        </w:tc>
        <w:tc>
          <w:tcPr>
            <w:tcW w:w="2790" w:type="dxa"/>
            <w:shd w:val="clear" w:color="auto" w:fill="auto"/>
          </w:tcPr>
          <w:p w14:paraId="206138F8" w14:textId="67D9AF28" w:rsidR="00497DA7" w:rsidRDefault="00497DA7" w:rsidP="00497DA7">
            <w:pPr>
              <w:pStyle w:val="T1"/>
              <w:suppressAutoHyphens/>
              <w:spacing w:after="120"/>
              <w:jc w:val="left"/>
              <w:rPr>
                <w:b w:val="0"/>
                <w:iCs/>
                <w:color w:val="000000"/>
                <w:sz w:val="16"/>
                <w:szCs w:val="16"/>
              </w:rPr>
            </w:pPr>
            <w:r>
              <w:rPr>
                <w:b w:val="0"/>
                <w:iCs/>
                <w:color w:val="000000"/>
                <w:sz w:val="16"/>
                <w:szCs w:val="16"/>
              </w:rPr>
              <w:t>Rejected</w:t>
            </w:r>
          </w:p>
          <w:p w14:paraId="1976DC34" w14:textId="60A3E5EC" w:rsidR="00497DA7" w:rsidRDefault="00497DA7" w:rsidP="00497DA7">
            <w:pPr>
              <w:pStyle w:val="T1"/>
              <w:suppressAutoHyphens/>
              <w:spacing w:after="120"/>
              <w:jc w:val="left"/>
              <w:rPr>
                <w:b w:val="0"/>
                <w:iCs/>
                <w:color w:val="000000"/>
                <w:sz w:val="16"/>
                <w:szCs w:val="16"/>
              </w:rPr>
            </w:pPr>
            <w:r>
              <w:rPr>
                <w:b w:val="0"/>
                <w:iCs/>
                <w:color w:val="000000"/>
                <w:sz w:val="16"/>
                <w:szCs w:val="16"/>
              </w:rPr>
              <w:t>This is a question instead of a technical issue. Answers below are provided here for clarification purpose only.</w:t>
            </w:r>
          </w:p>
          <w:p w14:paraId="6AC6C230" w14:textId="1581F860" w:rsidR="00497DA7" w:rsidRDefault="005A5CF1" w:rsidP="00497DA7">
            <w:pPr>
              <w:pStyle w:val="T1"/>
              <w:suppressAutoHyphens/>
              <w:spacing w:after="120"/>
              <w:jc w:val="left"/>
              <w:rPr>
                <w:b w:val="0"/>
                <w:iCs/>
                <w:color w:val="000000"/>
                <w:sz w:val="16"/>
                <w:szCs w:val="16"/>
              </w:rPr>
            </w:pPr>
            <w:r>
              <w:rPr>
                <w:b w:val="0"/>
                <w:iCs/>
                <w:color w:val="000000"/>
                <w:sz w:val="16"/>
                <w:szCs w:val="16"/>
              </w:rPr>
              <w:t xml:space="preserve">NOTE2 was related to A-PPDU. As the group has decided not to support A-PPDU in 11be,  NOTE 2 </w:t>
            </w:r>
            <w:r w:rsidR="00AA38BA">
              <w:rPr>
                <w:b w:val="0"/>
                <w:iCs/>
                <w:color w:val="000000"/>
                <w:sz w:val="16"/>
                <w:szCs w:val="16"/>
              </w:rPr>
              <w:t xml:space="preserve">should </w:t>
            </w:r>
            <w:r>
              <w:rPr>
                <w:b w:val="0"/>
                <w:iCs/>
                <w:color w:val="000000"/>
                <w:sz w:val="16"/>
                <w:szCs w:val="16"/>
              </w:rPr>
              <w:t>be deleted to avoid confusion</w:t>
            </w:r>
            <w:r w:rsidR="00AA38BA">
              <w:rPr>
                <w:b w:val="0"/>
                <w:iCs/>
                <w:color w:val="000000"/>
                <w:sz w:val="16"/>
                <w:szCs w:val="16"/>
              </w:rPr>
              <w:t xml:space="preserve"> based on </w:t>
            </w:r>
            <w:r w:rsidR="0047391F">
              <w:rPr>
                <w:b w:val="0"/>
                <w:iCs/>
                <w:color w:val="000000"/>
                <w:sz w:val="16"/>
                <w:szCs w:val="16"/>
              </w:rPr>
              <w:t xml:space="preserve">the </w:t>
            </w:r>
            <w:r w:rsidR="00AA38BA">
              <w:rPr>
                <w:b w:val="0"/>
                <w:iCs/>
                <w:color w:val="000000"/>
                <w:sz w:val="16"/>
                <w:szCs w:val="16"/>
              </w:rPr>
              <w:t>resolution to CID 10799</w:t>
            </w:r>
          </w:p>
        </w:tc>
      </w:tr>
      <w:tr w:rsidR="00497DA7" w:rsidRPr="00955C14" w14:paraId="08DABAD9" w14:textId="77777777" w:rsidTr="00882E24">
        <w:trPr>
          <w:trHeight w:val="449"/>
        </w:trPr>
        <w:tc>
          <w:tcPr>
            <w:tcW w:w="587" w:type="dxa"/>
            <w:shd w:val="clear" w:color="auto" w:fill="auto"/>
          </w:tcPr>
          <w:p w14:paraId="62C848BC" w14:textId="2EB8F46B" w:rsidR="00497DA7" w:rsidRPr="00D95F88" w:rsidRDefault="00497DA7" w:rsidP="00497DA7">
            <w:pPr>
              <w:pStyle w:val="T1"/>
              <w:suppressAutoHyphens/>
              <w:spacing w:after="120"/>
              <w:rPr>
                <w:b w:val="0"/>
                <w:sz w:val="16"/>
              </w:rPr>
            </w:pPr>
            <w:r w:rsidRPr="00D95F88">
              <w:rPr>
                <w:b w:val="0"/>
                <w:sz w:val="16"/>
              </w:rPr>
              <w:t>13553</w:t>
            </w:r>
          </w:p>
        </w:tc>
        <w:tc>
          <w:tcPr>
            <w:tcW w:w="1034" w:type="dxa"/>
            <w:shd w:val="clear" w:color="auto" w:fill="auto"/>
          </w:tcPr>
          <w:p w14:paraId="389B4DC2" w14:textId="08857DA6" w:rsidR="00497DA7" w:rsidRPr="00D95F88" w:rsidRDefault="00497DA7" w:rsidP="00497DA7">
            <w:pPr>
              <w:pStyle w:val="T1"/>
              <w:suppressAutoHyphens/>
              <w:spacing w:after="120"/>
              <w:rPr>
                <w:b w:val="0"/>
                <w:sz w:val="16"/>
              </w:rPr>
            </w:pPr>
            <w:r w:rsidRPr="00D95F88">
              <w:rPr>
                <w:b w:val="0"/>
                <w:sz w:val="16"/>
              </w:rPr>
              <w:t>Jian Yu</w:t>
            </w:r>
          </w:p>
        </w:tc>
        <w:tc>
          <w:tcPr>
            <w:tcW w:w="976" w:type="dxa"/>
            <w:shd w:val="clear" w:color="auto" w:fill="auto"/>
          </w:tcPr>
          <w:p w14:paraId="3902CFD0" w14:textId="0431F571" w:rsidR="00497DA7" w:rsidRPr="00D95F88" w:rsidRDefault="00497DA7" w:rsidP="00497DA7">
            <w:pPr>
              <w:pStyle w:val="T1"/>
              <w:suppressAutoHyphens/>
              <w:spacing w:after="120"/>
              <w:rPr>
                <w:b w:val="0"/>
                <w:sz w:val="16"/>
              </w:rPr>
            </w:pPr>
            <w:r w:rsidRPr="00D95F88">
              <w:rPr>
                <w:b w:val="0"/>
                <w:sz w:val="16"/>
              </w:rPr>
              <w:t>9.3.1.22.13</w:t>
            </w:r>
          </w:p>
        </w:tc>
        <w:tc>
          <w:tcPr>
            <w:tcW w:w="635" w:type="dxa"/>
            <w:shd w:val="clear" w:color="auto" w:fill="auto"/>
          </w:tcPr>
          <w:p w14:paraId="3BEB2B37" w14:textId="0BA1A301" w:rsidR="00497DA7" w:rsidRPr="00D95F88" w:rsidRDefault="00497DA7" w:rsidP="00497DA7">
            <w:pPr>
              <w:pStyle w:val="T1"/>
              <w:suppressAutoHyphens/>
              <w:spacing w:after="120"/>
              <w:rPr>
                <w:b w:val="0"/>
                <w:sz w:val="16"/>
              </w:rPr>
            </w:pPr>
            <w:r w:rsidRPr="00D95F88">
              <w:rPr>
                <w:b w:val="0"/>
                <w:sz w:val="16"/>
              </w:rPr>
              <w:t>172.57</w:t>
            </w:r>
          </w:p>
        </w:tc>
        <w:tc>
          <w:tcPr>
            <w:tcW w:w="2509" w:type="dxa"/>
            <w:shd w:val="clear" w:color="auto" w:fill="auto"/>
          </w:tcPr>
          <w:p w14:paraId="47E5AFDA" w14:textId="52F7249F" w:rsidR="00497DA7" w:rsidRPr="00D95F88" w:rsidRDefault="00497DA7" w:rsidP="00497DA7">
            <w:pPr>
              <w:pStyle w:val="T1"/>
              <w:suppressAutoHyphens/>
              <w:spacing w:after="120"/>
              <w:jc w:val="left"/>
              <w:rPr>
                <w:b w:val="0"/>
                <w:sz w:val="16"/>
              </w:rPr>
            </w:pPr>
            <w:r w:rsidRPr="00D95F88">
              <w:rPr>
                <w:b w:val="0"/>
                <w:sz w:val="16"/>
              </w:rPr>
              <w:t>Define NFRP for EHT</w:t>
            </w:r>
          </w:p>
        </w:tc>
        <w:tc>
          <w:tcPr>
            <w:tcW w:w="2179" w:type="dxa"/>
            <w:shd w:val="clear" w:color="auto" w:fill="auto"/>
          </w:tcPr>
          <w:p w14:paraId="519813FD" w14:textId="6E44B7A2" w:rsidR="00497DA7" w:rsidRPr="00D95F88" w:rsidRDefault="00497DA7" w:rsidP="00497DA7">
            <w:pPr>
              <w:pStyle w:val="T1"/>
              <w:suppressAutoHyphens/>
              <w:spacing w:after="120"/>
              <w:jc w:val="left"/>
              <w:rPr>
                <w:b w:val="0"/>
                <w:sz w:val="16"/>
              </w:rPr>
            </w:pPr>
            <w:r w:rsidRPr="00D95F88">
              <w:rPr>
                <w:b w:val="0"/>
                <w:sz w:val="16"/>
              </w:rPr>
              <w:t>As in comment</w:t>
            </w:r>
          </w:p>
        </w:tc>
        <w:tc>
          <w:tcPr>
            <w:tcW w:w="2790" w:type="dxa"/>
            <w:shd w:val="clear" w:color="auto" w:fill="auto"/>
          </w:tcPr>
          <w:p w14:paraId="66DE1F1E" w14:textId="08E89EBF" w:rsidR="00497DA7" w:rsidRDefault="00497DA7" w:rsidP="00497DA7">
            <w:pPr>
              <w:pStyle w:val="T1"/>
              <w:suppressAutoHyphens/>
              <w:spacing w:after="120"/>
              <w:jc w:val="left"/>
              <w:rPr>
                <w:b w:val="0"/>
                <w:iCs/>
                <w:color w:val="000000"/>
                <w:sz w:val="16"/>
                <w:szCs w:val="16"/>
              </w:rPr>
            </w:pPr>
            <w:r>
              <w:rPr>
                <w:b w:val="0"/>
                <w:iCs/>
                <w:color w:val="000000"/>
                <w:sz w:val="16"/>
                <w:szCs w:val="16"/>
              </w:rPr>
              <w:t>Re</w:t>
            </w:r>
            <w:r w:rsidR="00E33B76">
              <w:rPr>
                <w:b w:val="0"/>
                <w:iCs/>
                <w:color w:val="000000"/>
                <w:sz w:val="16"/>
                <w:szCs w:val="16"/>
              </w:rPr>
              <w:t>jected</w:t>
            </w:r>
          </w:p>
          <w:p w14:paraId="698128C8" w14:textId="77777777" w:rsidR="00497DA7" w:rsidRDefault="00497DA7" w:rsidP="00497DA7">
            <w:pPr>
              <w:pStyle w:val="T1"/>
              <w:suppressAutoHyphens/>
              <w:spacing w:after="120"/>
              <w:jc w:val="left"/>
              <w:rPr>
                <w:b w:val="0"/>
                <w:iCs/>
                <w:color w:val="000000"/>
                <w:sz w:val="16"/>
                <w:szCs w:val="16"/>
              </w:rPr>
            </w:pPr>
          </w:p>
          <w:p w14:paraId="5243A9ED" w14:textId="4FB51E18" w:rsidR="00497DA7" w:rsidRDefault="00C039E6" w:rsidP="00497DA7">
            <w:pPr>
              <w:pStyle w:val="T1"/>
              <w:suppressAutoHyphens/>
              <w:spacing w:after="120"/>
              <w:jc w:val="left"/>
              <w:rPr>
                <w:b w:val="0"/>
                <w:iCs/>
                <w:color w:val="000000"/>
                <w:sz w:val="16"/>
                <w:szCs w:val="16"/>
              </w:rPr>
            </w:pPr>
            <w:r>
              <w:rPr>
                <w:b w:val="0"/>
                <w:iCs/>
                <w:color w:val="000000"/>
                <w:sz w:val="16"/>
                <w:szCs w:val="16"/>
              </w:rPr>
              <w:t>There</w:t>
            </w:r>
            <w:r w:rsidR="0040488F">
              <w:rPr>
                <w:b w:val="0"/>
                <w:iCs/>
                <w:color w:val="000000"/>
                <w:sz w:val="16"/>
                <w:szCs w:val="16"/>
              </w:rPr>
              <w:t xml:space="preserve"> was discussion on NFRP expansion in </w:t>
            </w:r>
            <w:r w:rsidR="00736300">
              <w:rPr>
                <w:b w:val="0"/>
                <w:iCs/>
                <w:color w:val="000000"/>
                <w:sz w:val="16"/>
                <w:szCs w:val="16"/>
              </w:rPr>
              <w:t xml:space="preserve">21/0884r1, but the group couldn’t reach consensus on a solution. </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5262D23F"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sectPr w:rsidR="00CF1EE3" w:rsidSect="00882E24">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8F1E" w14:textId="77777777" w:rsidR="00794325" w:rsidRDefault="00794325" w:rsidP="00766E54">
      <w:pPr>
        <w:spacing w:after="0" w:line="240" w:lineRule="auto"/>
      </w:pPr>
      <w:r>
        <w:separator/>
      </w:r>
    </w:p>
  </w:endnote>
  <w:endnote w:type="continuationSeparator" w:id="0">
    <w:p w14:paraId="2E4A90CD" w14:textId="77777777" w:rsidR="00794325" w:rsidRDefault="00794325" w:rsidP="00766E54">
      <w:pPr>
        <w:spacing w:after="0" w:line="240" w:lineRule="auto"/>
      </w:pPr>
      <w:r>
        <w:continuationSeparator/>
      </w:r>
    </w:p>
  </w:endnote>
  <w:endnote w:type="continuationNotice" w:id="1">
    <w:p w14:paraId="429FB4D6" w14:textId="77777777" w:rsidR="00794325" w:rsidRDefault="00794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DD2D" w14:textId="77777777" w:rsidR="00794325" w:rsidRDefault="00794325" w:rsidP="00766E54">
      <w:pPr>
        <w:spacing w:after="0" w:line="240" w:lineRule="auto"/>
      </w:pPr>
      <w:r>
        <w:separator/>
      </w:r>
    </w:p>
  </w:footnote>
  <w:footnote w:type="continuationSeparator" w:id="0">
    <w:p w14:paraId="627C80D4" w14:textId="77777777" w:rsidR="00794325" w:rsidRDefault="00794325" w:rsidP="00766E54">
      <w:pPr>
        <w:spacing w:after="0" w:line="240" w:lineRule="auto"/>
      </w:pPr>
      <w:r>
        <w:continuationSeparator/>
      </w:r>
    </w:p>
  </w:footnote>
  <w:footnote w:type="continuationNotice" w:id="1">
    <w:p w14:paraId="590BDE3D" w14:textId="77777777" w:rsidR="00794325" w:rsidRDefault="00794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4EB051D" w:rsidR="007D6180" w:rsidRPr="00B21A42" w:rsidRDefault="00FA18D2" w:rsidP="00B21A42">
    <w:pPr>
      <w:pStyle w:val="Header"/>
      <w:pBdr>
        <w:bottom w:val="single" w:sz="8" w:space="1" w:color="auto"/>
      </w:pBdr>
      <w:tabs>
        <w:tab w:val="clear" w:pos="4680"/>
        <w:tab w:val="center" w:pos="8280"/>
      </w:tabs>
      <w:rPr>
        <w:sz w:val="28"/>
      </w:rPr>
    </w:pPr>
    <w:r>
      <w:rPr>
        <w:sz w:val="28"/>
      </w:rPr>
      <w:t>Sep</w:t>
    </w:r>
    <w:r w:rsidR="002F28E1">
      <w:rPr>
        <w:sz w:val="28"/>
      </w:rPr>
      <w:t xml:space="preserve"> 202</w:t>
    </w:r>
    <w:r w:rsidR="00864FA1">
      <w:rPr>
        <w:sz w:val="28"/>
      </w:rPr>
      <w:t>2</w:t>
    </w:r>
    <w:r w:rsidR="002F28E1">
      <w:rPr>
        <w:sz w:val="28"/>
      </w:rPr>
      <w:tab/>
    </w:r>
    <w:r w:rsidR="00BF11DC">
      <w:rPr>
        <w:sz w:val="28"/>
      </w:rPr>
      <w:t xml:space="preserve">                          </w:t>
    </w:r>
    <w:r w:rsidR="002F28E1">
      <w:rPr>
        <w:sz w:val="28"/>
      </w:rPr>
      <w:t>IEEE P802.11-2</w:t>
    </w:r>
    <w:r w:rsidR="009D5F45">
      <w:rPr>
        <w:sz w:val="28"/>
      </w:rPr>
      <w:t>2</w:t>
    </w:r>
    <w:r w:rsidR="002F28E1">
      <w:rPr>
        <w:sz w:val="28"/>
      </w:rPr>
      <w:t>/</w:t>
    </w:r>
    <w:r w:rsidR="00EC0ED5">
      <w:rPr>
        <w:sz w:val="28"/>
      </w:rPr>
      <w:t>1</w:t>
    </w:r>
    <w:r w:rsidR="001A173E">
      <w:rPr>
        <w:sz w:val="28"/>
      </w:rPr>
      <w:t>617</w:t>
    </w:r>
    <w:r w:rsidR="00864FA1">
      <w:rPr>
        <w:sz w:val="28"/>
      </w:rPr>
      <w:t>r</w:t>
    </w:r>
    <w:r>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8"/>
  </w:num>
  <w:num w:numId="17" w16cid:durableId="131871079">
    <w:abstractNumId w:val="11"/>
  </w:num>
  <w:num w:numId="18" w16cid:durableId="1779793106">
    <w:abstractNumId w:val="9"/>
  </w:num>
  <w:num w:numId="19" w16cid:durableId="4505610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5FC"/>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1C63"/>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5A04"/>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5457"/>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4A6F"/>
    <w:rsid w:val="000A5918"/>
    <w:rsid w:val="000A5CCE"/>
    <w:rsid w:val="000A61A5"/>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180"/>
    <w:rsid w:val="000B78DC"/>
    <w:rsid w:val="000B7EA1"/>
    <w:rsid w:val="000C03CC"/>
    <w:rsid w:val="000C05E8"/>
    <w:rsid w:val="000C0918"/>
    <w:rsid w:val="000C0C00"/>
    <w:rsid w:val="000C0CF7"/>
    <w:rsid w:val="000C0FEC"/>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6EA8"/>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638C"/>
    <w:rsid w:val="001064DA"/>
    <w:rsid w:val="001069DA"/>
    <w:rsid w:val="0010752B"/>
    <w:rsid w:val="0010763C"/>
    <w:rsid w:val="00107D7E"/>
    <w:rsid w:val="0011053C"/>
    <w:rsid w:val="001105AA"/>
    <w:rsid w:val="0011119F"/>
    <w:rsid w:val="001114AE"/>
    <w:rsid w:val="0011153A"/>
    <w:rsid w:val="00111987"/>
    <w:rsid w:val="001129B8"/>
    <w:rsid w:val="00112C15"/>
    <w:rsid w:val="00112DCB"/>
    <w:rsid w:val="0011321B"/>
    <w:rsid w:val="00114320"/>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1B35"/>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3C"/>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73E"/>
    <w:rsid w:val="001A1795"/>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352"/>
    <w:rsid w:val="001B256B"/>
    <w:rsid w:val="001B38C1"/>
    <w:rsid w:val="001B39C1"/>
    <w:rsid w:val="001B42BA"/>
    <w:rsid w:val="001B4350"/>
    <w:rsid w:val="001B44DB"/>
    <w:rsid w:val="001B48BE"/>
    <w:rsid w:val="001B49A9"/>
    <w:rsid w:val="001B60D4"/>
    <w:rsid w:val="001B6346"/>
    <w:rsid w:val="001B6BFB"/>
    <w:rsid w:val="001B7BF6"/>
    <w:rsid w:val="001C07CA"/>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7E"/>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307"/>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1852"/>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430"/>
    <w:rsid w:val="00247D69"/>
    <w:rsid w:val="0025160A"/>
    <w:rsid w:val="002516C2"/>
    <w:rsid w:val="00251976"/>
    <w:rsid w:val="00251B46"/>
    <w:rsid w:val="0025289A"/>
    <w:rsid w:val="002528E6"/>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2C"/>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A28"/>
    <w:rsid w:val="00293B31"/>
    <w:rsid w:val="00293D1F"/>
    <w:rsid w:val="00294199"/>
    <w:rsid w:val="002941E4"/>
    <w:rsid w:val="002941F0"/>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E7BF6"/>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3FD0"/>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0EC"/>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094"/>
    <w:rsid w:val="00377285"/>
    <w:rsid w:val="0037762E"/>
    <w:rsid w:val="00377821"/>
    <w:rsid w:val="00377C02"/>
    <w:rsid w:val="003801E7"/>
    <w:rsid w:val="00380D37"/>
    <w:rsid w:val="003811D4"/>
    <w:rsid w:val="00381ABC"/>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1F49"/>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B64"/>
    <w:rsid w:val="003C5E33"/>
    <w:rsid w:val="003C5EF0"/>
    <w:rsid w:val="003C62BB"/>
    <w:rsid w:val="003C6657"/>
    <w:rsid w:val="003C69EF"/>
    <w:rsid w:val="003C6C4D"/>
    <w:rsid w:val="003C749A"/>
    <w:rsid w:val="003C7874"/>
    <w:rsid w:val="003C7D73"/>
    <w:rsid w:val="003C7FC5"/>
    <w:rsid w:val="003C7FC7"/>
    <w:rsid w:val="003D0CA2"/>
    <w:rsid w:val="003D1025"/>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C15"/>
    <w:rsid w:val="003F7E61"/>
    <w:rsid w:val="004012E0"/>
    <w:rsid w:val="004012E1"/>
    <w:rsid w:val="00401AA2"/>
    <w:rsid w:val="00401AE2"/>
    <w:rsid w:val="00401B68"/>
    <w:rsid w:val="00401EB0"/>
    <w:rsid w:val="004025C6"/>
    <w:rsid w:val="00402FE5"/>
    <w:rsid w:val="00404670"/>
    <w:rsid w:val="0040488F"/>
    <w:rsid w:val="0040497D"/>
    <w:rsid w:val="00405960"/>
    <w:rsid w:val="00405D78"/>
    <w:rsid w:val="00406140"/>
    <w:rsid w:val="00406493"/>
    <w:rsid w:val="00406ABA"/>
    <w:rsid w:val="0040768B"/>
    <w:rsid w:val="004079FA"/>
    <w:rsid w:val="004102BE"/>
    <w:rsid w:val="00410AD8"/>
    <w:rsid w:val="004112C4"/>
    <w:rsid w:val="00411F0E"/>
    <w:rsid w:val="00412176"/>
    <w:rsid w:val="00412E4D"/>
    <w:rsid w:val="00412EB8"/>
    <w:rsid w:val="0041365E"/>
    <w:rsid w:val="00413EAB"/>
    <w:rsid w:val="00414067"/>
    <w:rsid w:val="004140EB"/>
    <w:rsid w:val="0041472E"/>
    <w:rsid w:val="004157AB"/>
    <w:rsid w:val="00415E97"/>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363"/>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91F"/>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97DA7"/>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327"/>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8F9"/>
    <w:rsid w:val="004D4DA6"/>
    <w:rsid w:val="004D5368"/>
    <w:rsid w:val="004D58E2"/>
    <w:rsid w:val="004D6024"/>
    <w:rsid w:val="004D6095"/>
    <w:rsid w:val="004D63DE"/>
    <w:rsid w:val="004D6504"/>
    <w:rsid w:val="004D6549"/>
    <w:rsid w:val="004D66D5"/>
    <w:rsid w:val="004D6F93"/>
    <w:rsid w:val="004D71A7"/>
    <w:rsid w:val="004E0B4A"/>
    <w:rsid w:val="004E1065"/>
    <w:rsid w:val="004E1532"/>
    <w:rsid w:val="004E1CB0"/>
    <w:rsid w:val="004E2296"/>
    <w:rsid w:val="004E25E6"/>
    <w:rsid w:val="004E2C29"/>
    <w:rsid w:val="004E3048"/>
    <w:rsid w:val="004E3232"/>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4D86"/>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890"/>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B23"/>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CF1"/>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B788A"/>
    <w:rsid w:val="005C07DE"/>
    <w:rsid w:val="005C0B92"/>
    <w:rsid w:val="005C0F60"/>
    <w:rsid w:val="005C104C"/>
    <w:rsid w:val="005C12F9"/>
    <w:rsid w:val="005C1522"/>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3C6C"/>
    <w:rsid w:val="005E403D"/>
    <w:rsid w:val="005E4CEF"/>
    <w:rsid w:val="005E53C5"/>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5CF"/>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682"/>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B9D"/>
    <w:rsid w:val="006A5F20"/>
    <w:rsid w:val="006A6084"/>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1E"/>
    <w:rsid w:val="006D4FDB"/>
    <w:rsid w:val="006D5458"/>
    <w:rsid w:val="006D5DB0"/>
    <w:rsid w:val="006D612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505F"/>
    <w:rsid w:val="007056E4"/>
    <w:rsid w:val="00705B97"/>
    <w:rsid w:val="00706B66"/>
    <w:rsid w:val="00706F2C"/>
    <w:rsid w:val="00707307"/>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300"/>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8A3"/>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5D"/>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B34"/>
    <w:rsid w:val="007927F3"/>
    <w:rsid w:val="007928B9"/>
    <w:rsid w:val="00793751"/>
    <w:rsid w:val="00794325"/>
    <w:rsid w:val="00794CDF"/>
    <w:rsid w:val="007963FF"/>
    <w:rsid w:val="00796BF3"/>
    <w:rsid w:val="00796C76"/>
    <w:rsid w:val="00797E9A"/>
    <w:rsid w:val="00797F84"/>
    <w:rsid w:val="007A05C4"/>
    <w:rsid w:val="007A0EDB"/>
    <w:rsid w:val="007A16D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D716A"/>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8EA"/>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B71"/>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CC"/>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B7"/>
    <w:rsid w:val="00850B67"/>
    <w:rsid w:val="008512DC"/>
    <w:rsid w:val="008515EF"/>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2E24"/>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97B78"/>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8EF"/>
    <w:rsid w:val="008C190C"/>
    <w:rsid w:val="008C2384"/>
    <w:rsid w:val="008C27F7"/>
    <w:rsid w:val="008C297D"/>
    <w:rsid w:val="008C2F70"/>
    <w:rsid w:val="008C352F"/>
    <w:rsid w:val="008C39B0"/>
    <w:rsid w:val="008C3CCD"/>
    <w:rsid w:val="008C4099"/>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958"/>
    <w:rsid w:val="008E5F82"/>
    <w:rsid w:val="008E5FAA"/>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284E"/>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561"/>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A36"/>
    <w:rsid w:val="00944720"/>
    <w:rsid w:val="00945BCA"/>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6D80"/>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792"/>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04AD"/>
    <w:rsid w:val="009C1019"/>
    <w:rsid w:val="009C1129"/>
    <w:rsid w:val="009C1490"/>
    <w:rsid w:val="009C14C3"/>
    <w:rsid w:val="009C1598"/>
    <w:rsid w:val="009C19C1"/>
    <w:rsid w:val="009C1F3E"/>
    <w:rsid w:val="009C238B"/>
    <w:rsid w:val="009C26CF"/>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EE"/>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8BA"/>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C0A"/>
    <w:rsid w:val="00AD640E"/>
    <w:rsid w:val="00AD6508"/>
    <w:rsid w:val="00AD6BB5"/>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42C"/>
    <w:rsid w:val="00B40C89"/>
    <w:rsid w:val="00B4122A"/>
    <w:rsid w:val="00B41668"/>
    <w:rsid w:val="00B420AC"/>
    <w:rsid w:val="00B423C6"/>
    <w:rsid w:val="00B42A97"/>
    <w:rsid w:val="00B42DB5"/>
    <w:rsid w:val="00B438FB"/>
    <w:rsid w:val="00B43DED"/>
    <w:rsid w:val="00B447CA"/>
    <w:rsid w:val="00B44E8D"/>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BD3"/>
    <w:rsid w:val="00B57F51"/>
    <w:rsid w:val="00B60346"/>
    <w:rsid w:val="00B60441"/>
    <w:rsid w:val="00B60B25"/>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95A"/>
    <w:rsid w:val="00B7545F"/>
    <w:rsid w:val="00B75D61"/>
    <w:rsid w:val="00B760B7"/>
    <w:rsid w:val="00B76372"/>
    <w:rsid w:val="00B77178"/>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5AD"/>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EA7"/>
    <w:rsid w:val="00BB33CC"/>
    <w:rsid w:val="00BB33D3"/>
    <w:rsid w:val="00BB3DA8"/>
    <w:rsid w:val="00BB3E87"/>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2D0"/>
    <w:rsid w:val="00BE650E"/>
    <w:rsid w:val="00BE6CB7"/>
    <w:rsid w:val="00BF088B"/>
    <w:rsid w:val="00BF0E27"/>
    <w:rsid w:val="00BF11DC"/>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9E6"/>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27BA8"/>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ECD"/>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5F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E06"/>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974"/>
    <w:rsid w:val="00C76C77"/>
    <w:rsid w:val="00C76C92"/>
    <w:rsid w:val="00C779A9"/>
    <w:rsid w:val="00C77C20"/>
    <w:rsid w:val="00C77EC2"/>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07F"/>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1D2"/>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1B4"/>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6F"/>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355"/>
    <w:rsid w:val="00D30FC6"/>
    <w:rsid w:val="00D31456"/>
    <w:rsid w:val="00D3148F"/>
    <w:rsid w:val="00D33D6D"/>
    <w:rsid w:val="00D342A2"/>
    <w:rsid w:val="00D347B1"/>
    <w:rsid w:val="00D348E7"/>
    <w:rsid w:val="00D34941"/>
    <w:rsid w:val="00D34CD8"/>
    <w:rsid w:val="00D34D48"/>
    <w:rsid w:val="00D35678"/>
    <w:rsid w:val="00D3577C"/>
    <w:rsid w:val="00D35AD6"/>
    <w:rsid w:val="00D360ED"/>
    <w:rsid w:val="00D36764"/>
    <w:rsid w:val="00D36F53"/>
    <w:rsid w:val="00D37558"/>
    <w:rsid w:val="00D37741"/>
    <w:rsid w:val="00D37CB9"/>
    <w:rsid w:val="00D37D9C"/>
    <w:rsid w:val="00D4036A"/>
    <w:rsid w:val="00D41AF1"/>
    <w:rsid w:val="00D42B90"/>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79A"/>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DD2"/>
    <w:rsid w:val="00D93FDF"/>
    <w:rsid w:val="00D942B3"/>
    <w:rsid w:val="00D9505D"/>
    <w:rsid w:val="00D95175"/>
    <w:rsid w:val="00D9588A"/>
    <w:rsid w:val="00D959CA"/>
    <w:rsid w:val="00D95D41"/>
    <w:rsid w:val="00D95F4E"/>
    <w:rsid w:val="00D95F68"/>
    <w:rsid w:val="00D95F83"/>
    <w:rsid w:val="00D95F88"/>
    <w:rsid w:val="00D9600C"/>
    <w:rsid w:val="00D96206"/>
    <w:rsid w:val="00D96DBD"/>
    <w:rsid w:val="00D96F3A"/>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9DB"/>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DDA"/>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C50"/>
    <w:rsid w:val="00DE3D95"/>
    <w:rsid w:val="00DE578F"/>
    <w:rsid w:val="00DE65B2"/>
    <w:rsid w:val="00DE681F"/>
    <w:rsid w:val="00DE6825"/>
    <w:rsid w:val="00DE704F"/>
    <w:rsid w:val="00DF0CDE"/>
    <w:rsid w:val="00DF1663"/>
    <w:rsid w:val="00DF186D"/>
    <w:rsid w:val="00DF1A91"/>
    <w:rsid w:val="00DF1FC0"/>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288"/>
    <w:rsid w:val="00E00A8E"/>
    <w:rsid w:val="00E00ABC"/>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06A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951"/>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B76"/>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514"/>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1E9"/>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10"/>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0E46"/>
    <w:rsid w:val="00EA12DF"/>
    <w:rsid w:val="00EA247B"/>
    <w:rsid w:val="00EA307C"/>
    <w:rsid w:val="00EA322B"/>
    <w:rsid w:val="00EA36D1"/>
    <w:rsid w:val="00EA3868"/>
    <w:rsid w:val="00EA3CD7"/>
    <w:rsid w:val="00EA3EED"/>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21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355B"/>
    <w:rsid w:val="00F4437E"/>
    <w:rsid w:val="00F44952"/>
    <w:rsid w:val="00F44C75"/>
    <w:rsid w:val="00F45B08"/>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16A"/>
    <w:rsid w:val="00F56960"/>
    <w:rsid w:val="00F56A65"/>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3E1D"/>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37C"/>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450"/>
    <w:rsid w:val="00F9754A"/>
    <w:rsid w:val="00F97A0E"/>
    <w:rsid w:val="00FA083B"/>
    <w:rsid w:val="00FA0C17"/>
    <w:rsid w:val="00FA10A1"/>
    <w:rsid w:val="00FA1606"/>
    <w:rsid w:val="00FA165E"/>
    <w:rsid w:val="00FA17DC"/>
    <w:rsid w:val="00FA18D2"/>
    <w:rsid w:val="00FA1ABE"/>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4D60"/>
    <w:rsid w:val="00FB4FC3"/>
    <w:rsid w:val="00FB54A7"/>
    <w:rsid w:val="00FB5527"/>
    <w:rsid w:val="00FB5A3F"/>
    <w:rsid w:val="00FB5B63"/>
    <w:rsid w:val="00FB5B8D"/>
    <w:rsid w:val="00FB5CF0"/>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4F54"/>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4EFA27-38F3-44D9-86CF-F232272F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Yanjun Sun</cp:lastModifiedBy>
  <cp:revision>89</cp:revision>
  <dcterms:created xsi:type="dcterms:W3CDTF">2022-09-14T22:39:00Z</dcterms:created>
  <dcterms:modified xsi:type="dcterms:W3CDTF">2022-09-15T08:42:00Z</dcterms:modified>
</cp:coreProperties>
</file>