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3FA3E96" w:rsidR="003C107D" w:rsidRDefault="004A5B81">
      <w:pPr>
        <w:spacing w:before="0" w:line="240" w:lineRule="auto"/>
        <w:jc w:val="both"/>
      </w:pPr>
      <w:r>
        <w:t xml:space="preserve">This submission proposes resolutions for the following CIDs </w:t>
      </w:r>
      <w:r w:rsidR="00044819">
        <w:t>(</w:t>
      </w:r>
      <w:r w:rsidR="00BB44AE">
        <w:t>1</w:t>
      </w:r>
      <w:r w:rsidR="004A1493">
        <w:t>1</w:t>
      </w:r>
      <w:r w:rsidR="00044819">
        <w:t xml:space="preserve">) </w:t>
      </w:r>
      <w:r>
        <w:t xml:space="preserve">for </w:t>
      </w:r>
      <w:proofErr w:type="spellStart"/>
      <w:r>
        <w:t>TGbe</w:t>
      </w:r>
      <w:proofErr w:type="spellEnd"/>
      <w:r>
        <w:t xml:space="preserve"> </w:t>
      </w:r>
      <w:r w:rsidR="00537907">
        <w:t>LB266</w:t>
      </w:r>
      <w:r>
        <w:t>:</w:t>
      </w:r>
    </w:p>
    <w:p w14:paraId="76C58436" w14:textId="4BA1490B" w:rsidR="006E0316" w:rsidRDefault="00BB44AE">
      <w:pPr>
        <w:spacing w:before="0" w:line="240" w:lineRule="auto"/>
        <w:jc w:val="both"/>
      </w:pPr>
      <w:r>
        <w:t xml:space="preserve">13311, </w:t>
      </w:r>
      <w:r w:rsidR="004A1493">
        <w:t xml:space="preserve">13738, </w:t>
      </w:r>
      <w:r>
        <w:t xml:space="preserve">10733, 12074, 13015, 13057, 13312, </w:t>
      </w:r>
      <w:r w:rsidR="004A1493">
        <w:t>13240, 13657, 13658, 13661</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540FABE8" w:rsidR="00AA4D27" w:rsidRPr="00AA4D27" w:rsidRDefault="004A5B81" w:rsidP="0053790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1BBEF18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D24AE6">
        <w:rPr>
          <w:b/>
          <w:i/>
          <w:color w:val="000000"/>
          <w:highlight w:val="yellow"/>
        </w:rPr>
        <w:t>1.1</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630"/>
        <w:gridCol w:w="720"/>
        <w:gridCol w:w="3600"/>
        <w:gridCol w:w="2070"/>
        <w:gridCol w:w="2160"/>
      </w:tblGrid>
      <w:tr w:rsidR="003C107D" w14:paraId="17040B4D" w14:textId="77777777" w:rsidTr="006A0FFB">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lastRenderedPageBreak/>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63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8A565E">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63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72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w:t>
            </w:r>
            <w:proofErr w:type="spellStart"/>
            <w:r w:rsidRPr="00875975">
              <w:rPr>
                <w:sz w:val="16"/>
                <w:szCs w:val="16"/>
              </w:rPr>
              <w:t>signaling</w:t>
            </w:r>
            <w:proofErr w:type="spellEnd"/>
            <w:r w:rsidRPr="00875975">
              <w:rPr>
                <w:sz w:val="16"/>
                <w:szCs w:val="16"/>
              </w:rPr>
              <w:t xml:space="preserve">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74ABEC2B" w14:textId="77777777" w:rsidR="00875975" w:rsidRPr="009B37CD" w:rsidRDefault="00875975" w:rsidP="00875975">
            <w:pPr>
              <w:rPr>
                <w:bCs/>
                <w:sz w:val="16"/>
                <w:szCs w:val="16"/>
              </w:rPr>
            </w:pPr>
          </w:p>
          <w:p w14:paraId="4BFD97FE" w14:textId="571220FE"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22/1545r0</w:t>
            </w:r>
            <w:r w:rsidRPr="009B37CD">
              <w:rPr>
                <w:b/>
                <w:sz w:val="16"/>
                <w:szCs w:val="16"/>
              </w:rPr>
              <w:t xml:space="preserve"> tagged by </w:t>
            </w:r>
            <w:r>
              <w:rPr>
                <w:b/>
                <w:sz w:val="16"/>
                <w:szCs w:val="16"/>
              </w:rPr>
              <w:t>#13311</w:t>
            </w:r>
          </w:p>
        </w:tc>
      </w:tr>
      <w:tr w:rsidR="00EE1874" w14:paraId="13AA9AA9" w14:textId="77777777" w:rsidTr="00CA36F2">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63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72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49808BFE"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22/1545r0</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8A565E">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63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72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77777777" w:rsidR="00EE1874" w:rsidRDefault="00EE1874" w:rsidP="00EE1874">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105D8961" w14:textId="77777777" w:rsidR="00EE1874" w:rsidRPr="009B37CD" w:rsidRDefault="00EE1874" w:rsidP="00EE1874">
            <w:pPr>
              <w:rPr>
                <w:bCs/>
                <w:sz w:val="16"/>
                <w:szCs w:val="16"/>
              </w:rPr>
            </w:pPr>
          </w:p>
          <w:p w14:paraId="00000063" w14:textId="2062081D"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22/1545r0</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13738</w:t>
            </w:r>
          </w:p>
        </w:tc>
      </w:tr>
      <w:tr w:rsidR="00EE1874" w14:paraId="77BCA80C" w14:textId="77777777" w:rsidTr="001D1942">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63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72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77777777" w:rsidR="00EE1874" w:rsidRDefault="00EE1874" w:rsidP="00EE1874">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6D2B5D18" w14:textId="77777777" w:rsidR="00EE1874" w:rsidRPr="009B37CD" w:rsidRDefault="00EE1874" w:rsidP="00EE1874">
            <w:pPr>
              <w:rPr>
                <w:bCs/>
                <w:sz w:val="16"/>
                <w:szCs w:val="16"/>
              </w:rPr>
            </w:pPr>
          </w:p>
          <w:p w14:paraId="22216F6F" w14:textId="4B262135"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22/1545r0</w:t>
            </w:r>
            <w:r w:rsidRPr="009B37CD">
              <w:rPr>
                <w:b/>
                <w:sz w:val="16"/>
                <w:szCs w:val="16"/>
              </w:rPr>
              <w:t xml:space="preserve"> tagged by </w:t>
            </w:r>
            <w:r>
              <w:rPr>
                <w:b/>
                <w:sz w:val="16"/>
                <w:szCs w:val="16"/>
              </w:rPr>
              <w:t>#13311 and 13738</w:t>
            </w:r>
          </w:p>
        </w:tc>
      </w:tr>
      <w:tr w:rsidR="00EE1874" w14:paraId="22D77A78" w14:textId="77777777" w:rsidTr="001D1942">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63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72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w:t>
            </w:r>
            <w:r w:rsidRPr="00875975">
              <w:rPr>
                <w:sz w:val="16"/>
                <w:szCs w:val="16"/>
              </w:rPr>
              <w:lastRenderedPageBreak/>
              <w:t xml:space="preserve">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lastRenderedPageBreak/>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w:t>
            </w:r>
            <w:r>
              <w:rPr>
                <w:bCs/>
                <w:sz w:val="16"/>
                <w:szCs w:val="16"/>
              </w:rPr>
              <w:lastRenderedPageBreak/>
              <w:t xml:space="preserve">TWT Information frame for R-TWT is addressed in this document </w:t>
            </w:r>
          </w:p>
          <w:p w14:paraId="053E49DA" w14:textId="77777777" w:rsidR="00C9281B" w:rsidRPr="009B37CD" w:rsidRDefault="00C9281B" w:rsidP="00C9281B">
            <w:pPr>
              <w:rPr>
                <w:bCs/>
                <w:sz w:val="16"/>
                <w:szCs w:val="16"/>
              </w:rPr>
            </w:pPr>
          </w:p>
          <w:p w14:paraId="2FEC99DD" w14:textId="41A3E2C6"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22/1545r0</w:t>
            </w:r>
            <w:r w:rsidRPr="009B37CD">
              <w:rPr>
                <w:b/>
                <w:sz w:val="16"/>
                <w:szCs w:val="16"/>
              </w:rPr>
              <w:t xml:space="preserve"> tagged by </w:t>
            </w:r>
            <w:r>
              <w:rPr>
                <w:b/>
                <w:sz w:val="16"/>
                <w:szCs w:val="16"/>
              </w:rPr>
              <w:t>#13311 and 13738</w:t>
            </w:r>
          </w:p>
        </w:tc>
      </w:tr>
      <w:tr w:rsidR="00EE1874" w14:paraId="790A1DA7" w14:textId="77777777" w:rsidTr="001D1942">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lastRenderedPageBreak/>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63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72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77777777" w:rsidR="00C9281B" w:rsidRDefault="00C9281B" w:rsidP="00C9281B">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13E5DCBB" w14:textId="77777777" w:rsidR="00C9281B" w:rsidRPr="009B37CD" w:rsidRDefault="00C9281B" w:rsidP="00C9281B">
            <w:pPr>
              <w:rPr>
                <w:bCs/>
                <w:sz w:val="16"/>
                <w:szCs w:val="16"/>
              </w:rPr>
            </w:pPr>
          </w:p>
          <w:p w14:paraId="070F8265" w14:textId="7451A69B"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22/1545r0</w:t>
            </w:r>
            <w:r w:rsidRPr="009B37CD">
              <w:rPr>
                <w:b/>
                <w:sz w:val="16"/>
                <w:szCs w:val="16"/>
              </w:rPr>
              <w:t xml:space="preserve"> tagged by </w:t>
            </w:r>
            <w:r>
              <w:rPr>
                <w:b/>
                <w:sz w:val="16"/>
                <w:szCs w:val="16"/>
              </w:rPr>
              <w:t>#13311 and 13738</w:t>
            </w:r>
          </w:p>
        </w:tc>
      </w:tr>
      <w:tr w:rsidR="00EE1874" w14:paraId="611253B7" w14:textId="77777777" w:rsidTr="001D1942">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63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72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 xml:space="preserve">Please clarify if according to current spec, a particular r-TWT schedule may be suspended/resumed. Make </w:t>
            </w:r>
            <w:proofErr w:type="spellStart"/>
            <w:r w:rsidRPr="00875975">
              <w:rPr>
                <w:sz w:val="16"/>
                <w:szCs w:val="16"/>
              </w:rPr>
              <w:t>signaling</w:t>
            </w:r>
            <w:proofErr w:type="spellEnd"/>
            <w:r w:rsidRPr="00875975">
              <w:rPr>
                <w:sz w:val="16"/>
                <w:szCs w:val="16"/>
              </w:rPr>
              <w:t>/spec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2C30A3C8" w14:textId="77777777" w:rsidR="00863A18" w:rsidRPr="009B37CD" w:rsidRDefault="00863A18" w:rsidP="00863A18">
            <w:pPr>
              <w:rPr>
                <w:bCs/>
                <w:sz w:val="16"/>
                <w:szCs w:val="16"/>
              </w:rPr>
            </w:pPr>
          </w:p>
          <w:p w14:paraId="335F10C0" w14:textId="6107EE12"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22/1545r0</w:t>
            </w:r>
            <w:r w:rsidRPr="009B37CD">
              <w:rPr>
                <w:b/>
                <w:sz w:val="16"/>
                <w:szCs w:val="16"/>
              </w:rPr>
              <w:t xml:space="preserve"> tagged by </w:t>
            </w:r>
            <w:r>
              <w:rPr>
                <w:b/>
                <w:sz w:val="16"/>
                <w:szCs w:val="16"/>
              </w:rPr>
              <w:t>#13311 and 13738</w:t>
            </w:r>
          </w:p>
        </w:tc>
      </w:tr>
      <w:tr w:rsidR="00EE1874" w14:paraId="51F8A1F0" w14:textId="77777777" w:rsidTr="001D1942">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63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72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TWT Information field format should be enhanced to support broadcast TWT ID, to enable use of this 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t xml:space="preserve">Enhance TWT Information field to specify a broadcast TWT ID to be able to 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t>Revised</w:t>
            </w:r>
          </w:p>
          <w:p w14:paraId="1352F8DF"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71223F54" w14:textId="77777777" w:rsidR="00863A18" w:rsidRPr="009B37CD" w:rsidRDefault="00863A18" w:rsidP="00863A18">
            <w:pPr>
              <w:rPr>
                <w:bCs/>
                <w:sz w:val="16"/>
                <w:szCs w:val="16"/>
              </w:rPr>
            </w:pPr>
          </w:p>
          <w:p w14:paraId="38B34F5E" w14:textId="49E45BD2"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22/1545r0</w:t>
            </w:r>
            <w:r w:rsidRPr="009B37CD">
              <w:rPr>
                <w:b/>
                <w:sz w:val="16"/>
                <w:szCs w:val="16"/>
              </w:rPr>
              <w:t xml:space="preserve"> tagged by </w:t>
            </w:r>
            <w:r>
              <w:rPr>
                <w:b/>
                <w:sz w:val="16"/>
                <w:szCs w:val="16"/>
              </w:rPr>
              <w:t>#13311 and 13738</w:t>
            </w:r>
          </w:p>
        </w:tc>
      </w:tr>
      <w:tr w:rsidR="00EE1874" w14:paraId="72C3EF19" w14:textId="77777777" w:rsidTr="001D1942">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63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72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w:t>
            </w:r>
            <w:r w:rsidRPr="00863A18">
              <w:rPr>
                <w:sz w:val="16"/>
                <w:szCs w:val="16"/>
              </w:rPr>
              <w:lastRenderedPageBreak/>
              <w:t xml:space="preserve">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lastRenderedPageBreak/>
              <w:t>Please add procedures and mechanisms to enable suspension/resumption of TWT schedules on a per-schedule basis.</w:t>
            </w:r>
          </w:p>
        </w:tc>
        <w:tc>
          <w:tcPr>
            <w:tcW w:w="2160" w:type="dxa"/>
            <w:shd w:val="clear" w:color="auto" w:fill="auto"/>
            <w:vAlign w:val="bottom"/>
          </w:tcPr>
          <w:p w14:paraId="59A13B06" w14:textId="77777777" w:rsidR="00863A18" w:rsidRPr="00863A18" w:rsidRDefault="00863A18" w:rsidP="00863A18">
            <w:pPr>
              <w:spacing w:before="0"/>
              <w:rPr>
                <w:b/>
                <w:sz w:val="16"/>
                <w:szCs w:val="16"/>
              </w:rPr>
            </w:pPr>
            <w:r w:rsidRPr="00863A18">
              <w:rPr>
                <w:b/>
                <w:sz w:val="16"/>
                <w:szCs w:val="16"/>
              </w:rPr>
              <w:t>Revised</w:t>
            </w:r>
          </w:p>
          <w:p w14:paraId="19622BB9" w14:textId="77777777" w:rsidR="00863A18" w:rsidRPr="00863A18" w:rsidRDefault="00863A18" w:rsidP="00863A1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66342A2D" w14:textId="77777777" w:rsidR="00863A18" w:rsidRPr="00863A18" w:rsidRDefault="00863A18" w:rsidP="00863A18">
            <w:pPr>
              <w:spacing w:before="0"/>
              <w:rPr>
                <w:b/>
                <w:bCs/>
                <w:sz w:val="16"/>
                <w:szCs w:val="16"/>
              </w:rPr>
            </w:pPr>
          </w:p>
          <w:p w14:paraId="72383E88" w14:textId="7A42F59B" w:rsidR="00EE1874" w:rsidRPr="009B37CD" w:rsidRDefault="00863A18" w:rsidP="00863A18">
            <w:pPr>
              <w:spacing w:before="0"/>
              <w:rPr>
                <w:b/>
                <w:sz w:val="16"/>
                <w:szCs w:val="16"/>
              </w:rPr>
            </w:pPr>
            <w:proofErr w:type="spellStart"/>
            <w:r w:rsidRPr="00863A18">
              <w:rPr>
                <w:b/>
                <w:sz w:val="16"/>
                <w:szCs w:val="16"/>
              </w:rPr>
              <w:lastRenderedPageBreak/>
              <w:t>TGbe</w:t>
            </w:r>
            <w:proofErr w:type="spellEnd"/>
            <w:r w:rsidRPr="00863A18">
              <w:rPr>
                <w:b/>
                <w:sz w:val="16"/>
                <w:szCs w:val="16"/>
              </w:rPr>
              <w:t xml:space="preserve"> editor, please make change as shown in 22/1545r0 tagged by #13311 and 13738</w:t>
            </w:r>
          </w:p>
        </w:tc>
      </w:tr>
      <w:tr w:rsidR="007F2C88" w14:paraId="047CB0A4" w14:textId="77777777" w:rsidTr="007F2C88">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w:t>
            </w:r>
            <w:r>
              <w:rPr>
                <w:sz w:val="16"/>
                <w:szCs w:val="16"/>
              </w:rPr>
              <w:t>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63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72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3320D246"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22/1545r0 tagged by #13311 and 13738</w:t>
            </w:r>
          </w:p>
        </w:tc>
      </w:tr>
      <w:tr w:rsidR="007F2C88" w14:paraId="194A323F" w14:textId="77777777" w:rsidTr="007F2C88">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63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72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11CDE168"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22/1545r0 tagged by #13311 and 13738</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194FE23B" w14:textId="77777777"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7777777" w:rsidR="00E2391A" w:rsidRDefault="00E2391A" w:rsidP="00B911EB">
      <w:pPr>
        <w:widowControl w:val="0"/>
        <w:tabs>
          <w:tab w:val="left" w:pos="659"/>
        </w:tabs>
        <w:spacing w:before="120" w:line="212" w:lineRule="auto"/>
        <w:rPr>
          <w:rFonts w:ascii="Arial" w:eastAsia="Arial" w:hAnsi="Arial" w:cs="Arial"/>
          <w:b/>
        </w:rPr>
      </w:pPr>
    </w:p>
    <w:p w14:paraId="230887FA" w14:textId="77777777" w:rsidR="00E2391A" w:rsidRDefault="00E2391A" w:rsidP="00B911EB">
      <w:pPr>
        <w:widowControl w:val="0"/>
        <w:tabs>
          <w:tab w:val="left" w:pos="659"/>
        </w:tabs>
        <w:spacing w:before="120" w:line="212" w:lineRule="auto"/>
        <w:rPr>
          <w:rFonts w:ascii="Arial" w:eastAsia="Arial" w:hAnsi="Arial" w:cs="Arial"/>
          <w:b/>
        </w:rPr>
      </w:pP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5BA75C72" w14:textId="77777777" w:rsidR="00D32053" w:rsidRDefault="00D32053" w:rsidP="00B911EB">
      <w:pPr>
        <w:widowControl w:val="0"/>
        <w:tabs>
          <w:tab w:val="left" w:pos="659"/>
        </w:tabs>
        <w:spacing w:before="120" w:line="212" w:lineRule="auto"/>
        <w:rPr>
          <w:rFonts w:ascii="Arial" w:eastAsia="Arial" w:hAnsi="Arial" w:cs="Arial"/>
          <w:b/>
        </w:rPr>
      </w:pPr>
    </w:p>
    <w:p w14:paraId="6E95D874" w14:textId="56C43CDE" w:rsidR="00B911EB" w:rsidRDefault="00302ECB" w:rsidP="00B911EB">
      <w:pPr>
        <w:widowControl w:val="0"/>
        <w:tabs>
          <w:tab w:val="left" w:pos="659"/>
        </w:tabs>
        <w:spacing w:before="120" w:line="212" w:lineRule="auto"/>
        <w:rPr>
          <w:rFonts w:ascii="Arial" w:eastAsia="Arial" w:hAnsi="Arial" w:cs="Arial"/>
          <w:b/>
        </w:rPr>
      </w:pPr>
      <w:r>
        <w:rPr>
          <w:rFonts w:ascii="Arial" w:eastAsia="Arial" w:hAnsi="Arial" w:cs="Arial"/>
          <w:b/>
        </w:rPr>
        <w:t>35.9</w:t>
      </w:r>
      <w:r w:rsidR="00B911EB">
        <w:rPr>
          <w:rFonts w:ascii="Arial" w:eastAsia="Arial" w:hAnsi="Arial" w:cs="Arial"/>
          <w:b/>
        </w:rPr>
        <w:t xml:space="preserve">. </w:t>
      </w:r>
      <w:r>
        <w:rPr>
          <w:rFonts w:ascii="Arial" w:eastAsia="Arial" w:hAnsi="Arial" w:cs="Arial"/>
          <w:b/>
        </w:rPr>
        <w:t>Restricted TWT (R-TWT)</w:t>
      </w:r>
    </w:p>
    <w:p w14:paraId="5B1A8C8C" w14:textId="57CF2709" w:rsidR="00FD524B" w:rsidRPr="00C547A4" w:rsidRDefault="00302ECB" w:rsidP="00302EC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r w:rsidR="00FD524B">
        <w:rPr>
          <w:b/>
          <w:i/>
          <w:highlight w:val="yellow"/>
        </w:rPr>
        <w:t>:</w:t>
      </w:r>
    </w:p>
    <w:p w14:paraId="69FD106E" w14:textId="77777777" w:rsidR="00302ECB" w:rsidRDefault="00302ECB" w:rsidP="00B911EB">
      <w:pPr>
        <w:widowControl w:val="0"/>
        <w:tabs>
          <w:tab w:val="left" w:pos="659"/>
        </w:tabs>
        <w:spacing w:before="120" w:line="212" w:lineRule="auto"/>
        <w:rPr>
          <w:rFonts w:ascii="Arial" w:eastAsia="Arial" w:hAnsi="Arial" w:cs="Arial"/>
          <w:b/>
        </w:rPr>
      </w:pPr>
    </w:p>
    <w:p w14:paraId="7DDA92FE" w14:textId="684C135C" w:rsidR="00FD524B" w:rsidRDefault="004A1493" w:rsidP="00B911EB">
      <w:pPr>
        <w:widowControl w:val="0"/>
        <w:tabs>
          <w:tab w:val="left" w:pos="659"/>
        </w:tabs>
        <w:spacing w:before="120" w:line="308" w:lineRule="auto"/>
        <w:rPr>
          <w:rFonts w:ascii="Arial" w:eastAsia="Arial" w:hAnsi="Arial" w:cs="Arial"/>
          <w:b/>
        </w:rPr>
      </w:pPr>
      <w:r>
        <w:rPr>
          <w:rFonts w:ascii="Arial" w:eastAsia="Arial" w:hAnsi="Arial" w:cs="Arial"/>
          <w:b/>
        </w:rPr>
        <w:t>(#13311)</w:t>
      </w:r>
      <w:r w:rsidR="00FD524B">
        <w:rPr>
          <w:rFonts w:ascii="Arial" w:eastAsia="Arial" w:hAnsi="Arial" w:cs="Arial"/>
          <w:b/>
        </w:rPr>
        <w:t>35.9.6</w:t>
      </w:r>
      <w:r w:rsidR="00B911EB">
        <w:rPr>
          <w:rFonts w:ascii="Arial" w:eastAsia="Arial" w:hAnsi="Arial" w:cs="Arial"/>
          <w:b/>
        </w:rPr>
        <w:t xml:space="preserve">. </w:t>
      </w:r>
      <w:r w:rsidR="00FD524B">
        <w:rPr>
          <w:rFonts w:ascii="Arial" w:eastAsia="Arial" w:hAnsi="Arial" w:cs="Arial"/>
          <w:b/>
        </w:rPr>
        <w:t>R-TWT schedule suspension and resumption</w:t>
      </w:r>
    </w:p>
    <w:p w14:paraId="059DC6DE" w14:textId="3E302A5E" w:rsidR="00B911EB" w:rsidRDefault="00FD524B" w:rsidP="00B911EB">
      <w:pPr>
        <w:widowControl w:val="0"/>
        <w:tabs>
          <w:tab w:val="left" w:pos="659"/>
        </w:tabs>
        <w:spacing w:before="120" w:line="308" w:lineRule="auto"/>
        <w:rPr>
          <w:rFonts w:eastAsia="Arial"/>
          <w:bCs/>
        </w:rPr>
      </w:pPr>
      <w:r w:rsidRPr="00FD524B">
        <w:rPr>
          <w:rFonts w:eastAsia="Arial"/>
          <w:bCs/>
        </w:rPr>
        <w:t xml:space="preserve">An R-TWT scheduled STA that transmits a TWT Information frame to an R-TWT scheduling AP during an on-going R-TWT SP shall suspend the corresponding R-TWT schedule. If the STA is in PS mode, it shall follow the additional rules defined in 26.8.4.3 (TWT Information frame exchange for broadcast TWT). The STA shall resume R-TWT operation for the corresponding R-TWT schedule at the specified TWT indicated (if any) in the TWT Information frame. </w:t>
      </w:r>
      <w:r w:rsidR="00B911EB" w:rsidRPr="00FD524B">
        <w:rPr>
          <w:rFonts w:eastAsia="Arial"/>
          <w:bCs/>
        </w:rPr>
        <w:t xml:space="preserve"> </w:t>
      </w:r>
    </w:p>
    <w:p w14:paraId="58D61C7B" w14:textId="77777777" w:rsidR="00801E95" w:rsidRPr="00FD524B" w:rsidRDefault="00801E95" w:rsidP="00B911EB">
      <w:pPr>
        <w:widowControl w:val="0"/>
        <w:tabs>
          <w:tab w:val="left" w:pos="659"/>
        </w:tabs>
        <w:spacing w:before="120" w:line="308" w:lineRule="auto"/>
        <w:rPr>
          <w:rFonts w:eastAsia="Arial"/>
          <w:bCs/>
        </w:rPr>
      </w:pPr>
    </w:p>
    <w:p w14:paraId="29DA3D2E" w14:textId="6285F0A0" w:rsidR="00801E95"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t>9.</w:t>
      </w:r>
      <w:r>
        <w:rPr>
          <w:rFonts w:ascii="Arial" w:eastAsia="Arial" w:hAnsi="Arial" w:cs="Arial"/>
          <w:b/>
        </w:rPr>
        <w:t>4.1.60</w:t>
      </w:r>
      <w:r>
        <w:rPr>
          <w:rFonts w:ascii="Arial" w:eastAsia="Arial" w:hAnsi="Arial" w:cs="Arial"/>
          <w:b/>
        </w:rPr>
        <w:t xml:space="preserve"> TWT Information </w:t>
      </w:r>
      <w:r>
        <w:rPr>
          <w:rFonts w:ascii="Arial" w:eastAsia="Arial" w:hAnsi="Arial" w:cs="Arial"/>
          <w:b/>
        </w:rPr>
        <w:t>field</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w:t>
      </w:r>
      <w:r>
        <w:rPr>
          <w:b/>
          <w:i/>
          <w:highlight w:val="yellow"/>
        </w:rPr>
        <w:t>modify third paragraph</w:t>
      </w:r>
      <w:r>
        <w:rPr>
          <w:b/>
          <w:i/>
          <w:highlight w:val="yellow"/>
        </w:rPr>
        <w:t xml:space="preserve"> (</w:t>
      </w:r>
      <w:r w:rsidR="00EA773F">
        <w:rPr>
          <w:b/>
          <w:i/>
          <w:highlight w:val="yellow"/>
        </w:rPr>
        <w:t>The TWT Flow Identifier…</w:t>
      </w:r>
      <w:r>
        <w:rPr>
          <w:b/>
          <w:i/>
          <w:highlight w:val="yellow"/>
        </w:rPr>
        <w:t>) as follows:</w:t>
      </w:r>
    </w:p>
    <w:p w14:paraId="5D88E208" w14:textId="107A1A2C" w:rsidR="00801E95" w:rsidRPr="00EA773F"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 xml:space="preserve">requested or being </w:t>
      </w:r>
      <w:proofErr w:type="spellStart"/>
      <w:proofErr w:type="gramStart"/>
      <w:r w:rsidRPr="00801E95">
        <w:rPr>
          <w:rFonts w:eastAsia="Arial"/>
          <w:bCs/>
        </w:rPr>
        <w:t>provided.The</w:t>
      </w:r>
      <w:proofErr w:type="spellEnd"/>
      <w:proofErr w:type="gramEnd"/>
      <w:r w:rsidRPr="00801E95">
        <w:rPr>
          <w:rFonts w:eastAsia="Arial"/>
          <w:bCs/>
        </w:rPr>
        <w:t xml:space="preserv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24D1E2DE" w14:textId="77777777" w:rsidR="00801E95" w:rsidRDefault="00801E95" w:rsidP="00692AFF">
      <w:pPr>
        <w:widowControl w:val="0"/>
        <w:tabs>
          <w:tab w:val="left" w:pos="659"/>
        </w:tabs>
        <w:spacing w:before="120" w:line="308" w:lineRule="auto"/>
        <w:rPr>
          <w:rFonts w:ascii="Arial" w:eastAsia="Arial" w:hAnsi="Arial" w:cs="Arial"/>
          <w:b/>
        </w:rPr>
      </w:pPr>
    </w:p>
    <w:p w14:paraId="4B808189" w14:textId="35CE1609"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77777777" w:rsidR="00692AFF" w:rsidRDefault="00692AFF" w:rsidP="00692AFF">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t>The Unprotected S1G Action field is defined in 9.6.24.1 (Unprotected S1G Action field).</w:t>
      </w:r>
    </w:p>
    <w:p w14:paraId="573A35A3" w14:textId="1A2B4D28"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(#13311, 13738)</w:t>
      </w:r>
      <w:r>
        <w:rPr>
          <w:b/>
          <w:i/>
          <w:highlight w:val="yellow"/>
        </w:rPr>
        <w:t xml:space="preserve">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4A74DBFB"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to indicate that the TWT Information frame reschedules all R-TWT schedules as defined in 26.8.4 (Use of TWT Information frames). Otherwise, it is set to 0.</w:t>
      </w:r>
    </w:p>
    <w:p w14:paraId="5D6018BE" w14:textId="1DBD8059" w:rsidR="005B2E14" w:rsidRPr="00290C65" w:rsidRDefault="00EE1874" w:rsidP="00EE1874">
      <w:pPr>
        <w:rPr>
          <w:color w:val="0070C0"/>
          <w:u w:val="single"/>
        </w:rPr>
      </w:pPr>
      <w:r w:rsidRPr="00EE1874">
        <w:rPr>
          <w:rFonts w:ascii="Calibri" w:hAnsi="Calibri" w:cs="Calibri"/>
          <w:color w:val="0070C0"/>
        </w:rPr>
        <w:t>﻿</w:t>
      </w:r>
      <w:r w:rsidRPr="00EE1874">
        <w:rPr>
          <w:color w:val="0070C0"/>
        </w:rPr>
        <w:t>(#</w:t>
      </w:r>
      <w:proofErr w:type="gramStart"/>
      <w:r w:rsidRPr="00EE1874">
        <w:rPr>
          <w:color w:val="0070C0"/>
        </w:rPr>
        <w:t>13738)</w:t>
      </w:r>
      <w:r w:rsidR="00290C65">
        <w:rPr>
          <w:color w:val="0070C0"/>
          <w:u w:val="single"/>
        </w:rPr>
        <w:t>If</w:t>
      </w:r>
      <w:proofErr w:type="gramEnd"/>
      <w:r w:rsidR="00290C65">
        <w:rPr>
          <w:color w:val="0070C0"/>
          <w:u w:val="single"/>
        </w:rPr>
        <w:t xml:space="preserve">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r w:rsidR="00290C65">
        <w:rPr>
          <w:color w:val="0070C0"/>
          <w:u w:val="single"/>
        </w:rPr>
        <w:t>All R-TWT subfield in the Exten</w:t>
      </w:r>
      <w:r>
        <w:rPr>
          <w:color w:val="0070C0"/>
          <w:u w:val="single"/>
        </w:rPr>
        <w:t xml:space="preserve">ded TWT Information field is 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R-TWT schedules, </w:t>
      </w:r>
      <w:r w:rsidRPr="00EE1874">
        <w:rPr>
          <w:color w:val="0070C0"/>
          <w:u w:val="single"/>
        </w:rPr>
        <w:t>as defined in 26.8.4 (Use of TWT Information frames)</w:t>
      </w:r>
      <w:r>
        <w:rPr>
          <w:color w:val="0070C0"/>
          <w:u w:val="single"/>
        </w:rPr>
        <w:t>.</w:t>
      </w:r>
    </w:p>
    <w:sectPr w:rsidR="005B2E14" w:rsidRPr="00290C65">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B643" w14:textId="77777777" w:rsidR="00E900FC" w:rsidRDefault="00E900FC">
      <w:pPr>
        <w:spacing w:before="0" w:line="240" w:lineRule="auto"/>
      </w:pPr>
      <w:r>
        <w:separator/>
      </w:r>
    </w:p>
  </w:endnote>
  <w:endnote w:type="continuationSeparator" w:id="0">
    <w:p w14:paraId="1023F93D" w14:textId="77777777" w:rsidR="00E900FC" w:rsidRDefault="00E900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DD96" w14:textId="77777777" w:rsidR="00E900FC" w:rsidRDefault="00E900FC">
      <w:pPr>
        <w:spacing w:before="0" w:line="240" w:lineRule="auto"/>
      </w:pPr>
      <w:r>
        <w:separator/>
      </w:r>
    </w:p>
  </w:footnote>
  <w:footnote w:type="continuationSeparator" w:id="0">
    <w:p w14:paraId="6B6F640D" w14:textId="77777777" w:rsidR="00E900FC" w:rsidRDefault="00E900F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3076D08"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545</w:t>
    </w:r>
    <w:r w:rsidR="004A5B81">
      <w:rPr>
        <w:b/>
        <w:color w:val="000000"/>
        <w:sz w:val="28"/>
        <w:szCs w:val="28"/>
      </w:rPr>
      <w:t>r</w:t>
    </w:r>
    <w:r w:rsidR="00537907">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8"/>
  </w:num>
  <w:num w:numId="2" w16cid:durableId="687098744">
    <w:abstractNumId w:val="7"/>
  </w:num>
  <w:num w:numId="3" w16cid:durableId="876698759">
    <w:abstractNumId w:val="13"/>
  </w:num>
  <w:num w:numId="4" w16cid:durableId="1178542039">
    <w:abstractNumId w:val="4"/>
  </w:num>
  <w:num w:numId="5" w16cid:durableId="1614480143">
    <w:abstractNumId w:val="10"/>
  </w:num>
  <w:num w:numId="6" w16cid:durableId="1486697834">
    <w:abstractNumId w:val="6"/>
  </w:num>
  <w:num w:numId="7" w16cid:durableId="2088305145">
    <w:abstractNumId w:val="2"/>
  </w:num>
  <w:num w:numId="8" w16cid:durableId="1454910169">
    <w:abstractNumId w:val="1"/>
  </w:num>
  <w:num w:numId="9" w16cid:durableId="613170242">
    <w:abstractNumId w:val="14"/>
  </w:num>
  <w:num w:numId="10" w16cid:durableId="992876367">
    <w:abstractNumId w:val="11"/>
  </w:num>
  <w:num w:numId="11" w16cid:durableId="1864709782">
    <w:abstractNumId w:val="3"/>
  </w:num>
  <w:num w:numId="12" w16cid:durableId="748503118">
    <w:abstractNumId w:val="0"/>
  </w:num>
  <w:num w:numId="13" w16cid:durableId="30496012">
    <w:abstractNumId w:val="15"/>
  </w:num>
  <w:num w:numId="14" w16cid:durableId="142309368">
    <w:abstractNumId w:val="5"/>
  </w:num>
  <w:num w:numId="15" w16cid:durableId="1547061747">
    <w:abstractNumId w:val="12"/>
  </w:num>
  <w:num w:numId="16" w16cid:durableId="1107694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F5A"/>
    <w:rsid w:val="00005D93"/>
    <w:rsid w:val="000306AA"/>
    <w:rsid w:val="0003493D"/>
    <w:rsid w:val="00035897"/>
    <w:rsid w:val="00035D45"/>
    <w:rsid w:val="00035E97"/>
    <w:rsid w:val="00042D9A"/>
    <w:rsid w:val="00044819"/>
    <w:rsid w:val="00051A45"/>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5AFC"/>
    <w:rsid w:val="003C6092"/>
    <w:rsid w:val="003E3706"/>
    <w:rsid w:val="003E70BA"/>
    <w:rsid w:val="003E77AC"/>
    <w:rsid w:val="003F133F"/>
    <w:rsid w:val="004171B3"/>
    <w:rsid w:val="004179E6"/>
    <w:rsid w:val="00420BBB"/>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1493"/>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80E9C"/>
    <w:rsid w:val="00786C8E"/>
    <w:rsid w:val="007A18CB"/>
    <w:rsid w:val="007B0295"/>
    <w:rsid w:val="007C3F83"/>
    <w:rsid w:val="007C43E1"/>
    <w:rsid w:val="007C6981"/>
    <w:rsid w:val="007E5EAB"/>
    <w:rsid w:val="007E6A3C"/>
    <w:rsid w:val="007E7393"/>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653F"/>
    <w:rsid w:val="00891A3B"/>
    <w:rsid w:val="008925DE"/>
    <w:rsid w:val="008946F4"/>
    <w:rsid w:val="00895C0F"/>
    <w:rsid w:val="00896060"/>
    <w:rsid w:val="008A1E14"/>
    <w:rsid w:val="008A4D4F"/>
    <w:rsid w:val="008A6D3A"/>
    <w:rsid w:val="008B088E"/>
    <w:rsid w:val="008B179B"/>
    <w:rsid w:val="008B1CC6"/>
    <w:rsid w:val="008B2E63"/>
    <w:rsid w:val="008D709B"/>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1E4E"/>
    <w:rsid w:val="00B33DE3"/>
    <w:rsid w:val="00B510FF"/>
    <w:rsid w:val="00B60CB8"/>
    <w:rsid w:val="00B61B6D"/>
    <w:rsid w:val="00B64BD8"/>
    <w:rsid w:val="00B71A43"/>
    <w:rsid w:val="00B911EB"/>
    <w:rsid w:val="00BA6FF6"/>
    <w:rsid w:val="00BB44AE"/>
    <w:rsid w:val="00BB4E30"/>
    <w:rsid w:val="00BC23A0"/>
    <w:rsid w:val="00BC4C54"/>
    <w:rsid w:val="00BC51AC"/>
    <w:rsid w:val="00BC7058"/>
    <w:rsid w:val="00BD02F6"/>
    <w:rsid w:val="00BD6BF6"/>
    <w:rsid w:val="00BE7B8B"/>
    <w:rsid w:val="00BF42DE"/>
    <w:rsid w:val="00C04D7D"/>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24AE6"/>
    <w:rsid w:val="00D32053"/>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E2391A"/>
    <w:rsid w:val="00E4028C"/>
    <w:rsid w:val="00E40DC3"/>
    <w:rsid w:val="00E515D1"/>
    <w:rsid w:val="00E54410"/>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F05938"/>
    <w:rsid w:val="00F11A10"/>
    <w:rsid w:val="00F17BF5"/>
    <w:rsid w:val="00F242E6"/>
    <w:rsid w:val="00F349A4"/>
    <w:rsid w:val="00F35B85"/>
    <w:rsid w:val="00F45AF8"/>
    <w:rsid w:val="00F5012B"/>
    <w:rsid w:val="00F54AEC"/>
    <w:rsid w:val="00F5543C"/>
    <w:rsid w:val="00F5612C"/>
    <w:rsid w:val="00F662C0"/>
    <w:rsid w:val="00F90F6D"/>
    <w:rsid w:val="00F975B0"/>
    <w:rsid w:val="00FA2EC5"/>
    <w:rsid w:val="00FA5F1E"/>
    <w:rsid w:val="00FB1893"/>
    <w:rsid w:val="00FC53B0"/>
    <w:rsid w:val="00FD524B"/>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8</cp:revision>
  <dcterms:created xsi:type="dcterms:W3CDTF">2022-09-09T00:23:00Z</dcterms:created>
  <dcterms:modified xsi:type="dcterms:W3CDTF">2022-09-09T21:57:00Z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