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2435EB54" w:rsidR="00CA09B2" w:rsidRDefault="009D7648">
            <w:pPr>
              <w:pStyle w:val="T2"/>
            </w:pPr>
            <w:r>
              <w:rPr>
                <w:bCs/>
              </w:rPr>
              <w:t>P2P Communication with EMLSR Peer in Triggered TXOP Sharing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076B3B8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933EA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33EA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D7648">
              <w:rPr>
                <w:b w:val="0"/>
                <w:sz w:val="20"/>
              </w:rPr>
              <w:t>1</w:t>
            </w:r>
            <w:r w:rsidR="00A74358">
              <w:rPr>
                <w:b w:val="0"/>
                <w:sz w:val="20"/>
              </w:rPr>
              <w:t>7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24CA3418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6AD8272A" w14:textId="57962479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5953E7DD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</w:t>
            </w:r>
            <w:r w:rsid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an</w:t>
            </w: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1808918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0721C400" w14:textId="6555DE1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1C69D83B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58398DA0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BF284C" w14:textId="1B461508" w:rsidR="00640079" w:rsidRDefault="00F248B2" w:rsidP="000D3B15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>This submission propos</w:t>
                            </w:r>
                            <w:r w:rsidRPr="00C7614F">
                              <w:t>es</w:t>
                            </w:r>
                            <w:r w:rsidRPr="00C7614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7614F">
                              <w:t>comment resolution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124</w:t>
                            </w:r>
                            <w:r w:rsidR="00C3234D">
                              <w:t>22</w:t>
                            </w:r>
                            <w:r w:rsidRPr="00C7614F">
                              <w:t xml:space="preserve"> received in LB266 on </w:t>
                            </w:r>
                            <w:proofErr w:type="spellStart"/>
                            <w:r w:rsidRPr="00C7614F">
                              <w:t>TGbe</w:t>
                            </w:r>
                            <w:proofErr w:type="spellEnd"/>
                            <w:r w:rsidRPr="00C7614F">
                              <w:t xml:space="preserve"> D2.0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BF284C" w14:textId="1B461508" w:rsidR="00640079" w:rsidRDefault="00F248B2" w:rsidP="000D3B15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>This submission propos</w:t>
                      </w:r>
                      <w:r w:rsidRPr="00C7614F">
                        <w:t>es</w:t>
                      </w:r>
                      <w:r w:rsidRPr="00C7614F">
                        <w:rPr>
                          <w:rFonts w:hint="eastAsia"/>
                        </w:rPr>
                        <w:t xml:space="preserve"> </w:t>
                      </w:r>
                      <w:r w:rsidRPr="00C7614F">
                        <w:t>comment resolution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124</w:t>
                      </w:r>
                      <w:r w:rsidR="00C3234D">
                        <w:t>22</w:t>
                      </w:r>
                      <w:r w:rsidRPr="00C7614F">
                        <w:t xml:space="preserve"> received in LB266 on </w:t>
                      </w:r>
                      <w:proofErr w:type="spellStart"/>
                      <w:r w:rsidRPr="00C7614F">
                        <w:t>TGbe</w:t>
                      </w:r>
                      <w:proofErr w:type="spellEnd"/>
                      <w:r w:rsidRPr="00C7614F">
                        <w:t xml:space="preserve"> D2.0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Default="00CA09B2" w:rsidP="004D52AF">
      <w:r>
        <w:br w:type="page"/>
      </w:r>
    </w:p>
    <w:p w14:paraId="59C22CD8" w14:textId="4D18B7BE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p w14:paraId="484DE1CB" w14:textId="6EDC068E" w:rsidR="005844E5" w:rsidRDefault="005844E5" w:rsidP="005844E5"/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5"/>
        <w:gridCol w:w="770"/>
        <w:gridCol w:w="391"/>
        <w:gridCol w:w="939"/>
        <w:gridCol w:w="633"/>
        <w:gridCol w:w="1589"/>
        <w:gridCol w:w="1701"/>
        <w:gridCol w:w="2693"/>
      </w:tblGrid>
      <w:tr w:rsidR="00A07316" w:rsidRPr="005844E5" w14:paraId="71F264FA" w14:textId="7090E660" w:rsidTr="00FE4FE5">
        <w:trPr>
          <w:trHeight w:val="3929"/>
        </w:trPr>
        <w:tc>
          <w:tcPr>
            <w:tcW w:w="63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F5617CA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12422</w:t>
            </w:r>
          </w:p>
        </w:tc>
        <w:tc>
          <w:tcPr>
            <w:tcW w:w="7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34DB8FA7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Yongho Kim</w:t>
            </w:r>
          </w:p>
        </w:tc>
        <w:tc>
          <w:tcPr>
            <w:tcW w:w="39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622C964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Yes</w:t>
            </w:r>
          </w:p>
        </w:tc>
        <w:tc>
          <w:tcPr>
            <w:tcW w:w="93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F94E55B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35.2.1.2.2</w:t>
            </w:r>
          </w:p>
        </w:tc>
        <w:tc>
          <w:tcPr>
            <w:tcW w:w="63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E2FC0B4" w14:textId="6BB69AC6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402</w:t>
            </w:r>
            <w:r w:rsidRPr="00A07316">
              <w:rPr>
                <w:sz w:val="20"/>
              </w:rPr>
              <w:t>.55</w:t>
            </w:r>
          </w:p>
        </w:tc>
        <w:tc>
          <w:tcPr>
            <w:tcW w:w="15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84AB717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 xml:space="preserve">When EMLSR STA MLD (or STA affiliated with EMLSR STA MLD) is recipient of P2P, EMLSR operating STA </w:t>
            </w:r>
            <w:proofErr w:type="spellStart"/>
            <w:r w:rsidRPr="005844E5">
              <w:rPr>
                <w:sz w:val="20"/>
              </w:rPr>
              <w:t>can not</w:t>
            </w:r>
            <w:proofErr w:type="spellEnd"/>
            <w:r w:rsidRPr="005844E5">
              <w:rPr>
                <w:sz w:val="20"/>
              </w:rPr>
              <w:t xml:space="preserve"> receive PPDU from non-AP STA without initial control frame.</w:t>
            </w:r>
          </w:p>
        </w:tc>
        <w:tc>
          <w:tcPr>
            <w:tcW w:w="17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55ED3DC" w14:textId="77777777" w:rsidR="00A07316" w:rsidRPr="005844E5" w:rsidRDefault="00A07316" w:rsidP="00A07316">
            <w:pPr>
              <w:rPr>
                <w:sz w:val="20"/>
              </w:rPr>
            </w:pPr>
            <w:r w:rsidRPr="005844E5">
              <w:rPr>
                <w:sz w:val="20"/>
              </w:rPr>
              <w:t>Please define a procedure to communication with EMLSR operating STA in triggered TXOP sharing mode 2.</w:t>
            </w:r>
          </w:p>
        </w:tc>
        <w:tc>
          <w:tcPr>
            <w:tcW w:w="26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7AF2F3E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  <w:r w:rsidRPr="00A07316">
              <w:rPr>
                <w:b/>
                <w:sz w:val="20"/>
              </w:rPr>
              <w:t xml:space="preserve">Revised. </w:t>
            </w:r>
          </w:p>
          <w:p w14:paraId="46B43E2E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</w:p>
          <w:p w14:paraId="0BC250B1" w14:textId="384C9F74" w:rsidR="00A07316" w:rsidRPr="00A07316" w:rsidRDefault="00A07316" w:rsidP="00A07316">
            <w:pPr>
              <w:suppressAutoHyphens/>
              <w:rPr>
                <w:bCs/>
                <w:sz w:val="20"/>
              </w:rPr>
            </w:pPr>
            <w:r w:rsidRPr="00A07316">
              <w:rPr>
                <w:bCs/>
                <w:sz w:val="20"/>
              </w:rPr>
              <w:t xml:space="preserve">Agree in principle. </w:t>
            </w:r>
            <w:proofErr w:type="gramStart"/>
            <w:r w:rsidR="00DF08C4">
              <w:rPr>
                <w:bCs/>
                <w:sz w:val="20"/>
              </w:rPr>
              <w:t>In order for</w:t>
            </w:r>
            <w:proofErr w:type="gramEnd"/>
            <w:r w:rsidR="00DF08C4">
              <w:rPr>
                <w:bCs/>
                <w:sz w:val="20"/>
              </w:rPr>
              <w:t xml:space="preserve"> an EMLSR STA to participate in P2P communication</w:t>
            </w:r>
            <w:r w:rsidR="00D47398">
              <w:rPr>
                <w:bCs/>
                <w:sz w:val="20"/>
              </w:rPr>
              <w:t xml:space="preserve">, the </w:t>
            </w:r>
            <w:r w:rsidR="00DF08C4">
              <w:rPr>
                <w:bCs/>
                <w:sz w:val="20"/>
              </w:rPr>
              <w:t>EMLSR STA</w:t>
            </w:r>
            <w:r w:rsidR="00D47398">
              <w:rPr>
                <w:bCs/>
                <w:sz w:val="20"/>
              </w:rPr>
              <w:t xml:space="preserve"> shall disable EMLSR mode operation at </w:t>
            </w:r>
            <w:r w:rsidR="00297EA4">
              <w:rPr>
                <w:bCs/>
                <w:sz w:val="20"/>
              </w:rPr>
              <w:t xml:space="preserve">the </w:t>
            </w:r>
            <w:r w:rsidR="00D47398">
              <w:rPr>
                <w:bCs/>
                <w:sz w:val="20"/>
              </w:rPr>
              <w:t xml:space="preserve">setup of P2P and may enable EMLSR mode operation after </w:t>
            </w:r>
            <w:r w:rsidR="00297EA4">
              <w:rPr>
                <w:bCs/>
                <w:sz w:val="20"/>
              </w:rPr>
              <w:t>the teardown of P2P</w:t>
            </w:r>
            <w:r w:rsidR="00B53473">
              <w:rPr>
                <w:bCs/>
                <w:sz w:val="20"/>
              </w:rPr>
              <w:t>.</w:t>
            </w:r>
            <w:r w:rsidRPr="00A07316">
              <w:rPr>
                <w:bCs/>
                <w:sz w:val="20"/>
              </w:rPr>
              <w:t xml:space="preserve"> </w:t>
            </w:r>
          </w:p>
          <w:p w14:paraId="389E51F2" w14:textId="77777777" w:rsidR="00A07316" w:rsidRPr="00297EA4" w:rsidRDefault="00A07316" w:rsidP="00A07316">
            <w:pPr>
              <w:suppressAutoHyphens/>
              <w:rPr>
                <w:b/>
                <w:sz w:val="20"/>
              </w:rPr>
            </w:pPr>
          </w:p>
          <w:p w14:paraId="2CBA7ADF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</w:p>
          <w:p w14:paraId="09087B35" w14:textId="77777777" w:rsidR="00A07316" w:rsidRPr="00A07316" w:rsidRDefault="00A07316" w:rsidP="00A07316">
            <w:pPr>
              <w:suppressAutoHyphens/>
              <w:rPr>
                <w:b/>
                <w:sz w:val="20"/>
              </w:rPr>
            </w:pPr>
          </w:p>
          <w:p w14:paraId="256B4A97" w14:textId="3A299000" w:rsidR="00A07316" w:rsidRPr="00A07316" w:rsidRDefault="00A07316" w:rsidP="00A07316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A07316">
              <w:rPr>
                <w:b/>
                <w:bCs/>
                <w:sz w:val="20"/>
              </w:rPr>
              <w:t>TGbe</w:t>
            </w:r>
            <w:proofErr w:type="spellEnd"/>
            <w:r w:rsidRPr="00A07316">
              <w:rPr>
                <w:b/>
                <w:bCs/>
                <w:sz w:val="20"/>
              </w:rPr>
              <w:t xml:space="preserve"> editor:  </w:t>
            </w:r>
            <w:r w:rsidRPr="00A07316">
              <w:rPr>
                <w:sz w:val="20"/>
              </w:rPr>
              <w:t>Apply the changes tagged with #1242</w:t>
            </w:r>
            <w:r w:rsidR="00B53473">
              <w:rPr>
                <w:sz w:val="20"/>
              </w:rPr>
              <w:t>2</w:t>
            </w:r>
            <w:r w:rsidRPr="00A07316">
              <w:rPr>
                <w:sz w:val="20"/>
              </w:rPr>
              <w:t xml:space="preserve"> in this document. </w:t>
            </w:r>
          </w:p>
          <w:p w14:paraId="01E2F68D" w14:textId="0D159910" w:rsidR="00A07316" w:rsidRPr="00A07316" w:rsidRDefault="00A07316" w:rsidP="00A07316">
            <w:pPr>
              <w:rPr>
                <w:sz w:val="20"/>
                <w:lang w:eastAsia="ko-KR"/>
              </w:rPr>
            </w:pPr>
          </w:p>
        </w:tc>
      </w:tr>
    </w:tbl>
    <w:p w14:paraId="16784045" w14:textId="4068999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Discussions</w:t>
      </w:r>
    </w:p>
    <w:p w14:paraId="0EAA3B76" w14:textId="77777777" w:rsidR="008D67CA" w:rsidRPr="008D67CA" w:rsidRDefault="008D67CA" w:rsidP="008D67CA">
      <w:pPr>
        <w:rPr>
          <w:lang w:val="en-US"/>
        </w:rPr>
      </w:pPr>
    </w:p>
    <w:p w14:paraId="1396F1E5" w14:textId="6A9B115E" w:rsidR="005A18A7" w:rsidRPr="005A18A7" w:rsidRDefault="005A18A7" w:rsidP="005A18A7">
      <w:pPr>
        <w:numPr>
          <w:ilvl w:val="0"/>
          <w:numId w:val="7"/>
        </w:numPr>
        <w:rPr>
          <w:lang w:val="en-US"/>
        </w:rPr>
      </w:pPr>
      <w:r w:rsidRPr="005A18A7">
        <w:t xml:space="preserve">EMLSR-operating non-AP STA MLD </w:t>
      </w:r>
      <w:proofErr w:type="spellStart"/>
      <w:r w:rsidRPr="005A18A7">
        <w:t>can not</w:t>
      </w:r>
      <w:proofErr w:type="spellEnd"/>
      <w:r w:rsidRPr="005A18A7">
        <w:t xml:space="preserve"> receive a PPDU without the reception of </w:t>
      </w:r>
      <w:r w:rsidR="005B7BFB">
        <w:t xml:space="preserve">an </w:t>
      </w:r>
      <w:r w:rsidRPr="005A18A7">
        <w:t>initial control frame</w:t>
      </w:r>
    </w:p>
    <w:p w14:paraId="20CAA23B" w14:textId="64D3E094" w:rsidR="005A18A7" w:rsidRPr="005A18A7" w:rsidRDefault="005A18A7" w:rsidP="005A18A7">
      <w:pPr>
        <w:numPr>
          <w:ilvl w:val="0"/>
          <w:numId w:val="7"/>
        </w:numPr>
        <w:rPr>
          <w:lang w:val="en-US"/>
        </w:rPr>
      </w:pPr>
      <w:r w:rsidRPr="005A18A7">
        <w:t xml:space="preserve">If </w:t>
      </w:r>
      <w:r w:rsidR="00B73E65">
        <w:t xml:space="preserve">a </w:t>
      </w:r>
      <w:r w:rsidRPr="005A18A7">
        <w:t xml:space="preserve">P2P recipient peer is an EMLSR-operating STA, </w:t>
      </w:r>
      <w:r w:rsidR="006677AB">
        <w:t xml:space="preserve">a </w:t>
      </w:r>
      <w:r w:rsidRPr="005A18A7">
        <w:t xml:space="preserve">P2P transmitter </w:t>
      </w:r>
      <w:r w:rsidR="003A54CD">
        <w:t>(</w:t>
      </w:r>
      <w:r w:rsidR="001027C8">
        <w:t xml:space="preserve">non-AP STA MLD </w:t>
      </w:r>
      <w:r w:rsidR="00F00CE5">
        <w:t xml:space="preserve">with shared TXOP) </w:t>
      </w:r>
      <w:proofErr w:type="spellStart"/>
      <w:r w:rsidR="00C72684">
        <w:t>can not</w:t>
      </w:r>
      <w:proofErr w:type="spellEnd"/>
      <w:r w:rsidR="00C72684">
        <w:t xml:space="preserve"> directly transmit data to an</w:t>
      </w:r>
      <w:r w:rsidRPr="005A18A7">
        <w:t xml:space="preserve"> EMLSR-operating P2P recipient STA</w:t>
      </w:r>
      <w:r w:rsidR="00C72684">
        <w:t>.</w:t>
      </w:r>
    </w:p>
    <w:p w14:paraId="66F93E38" w14:textId="10A3BA2A" w:rsidR="009A1CC3" w:rsidRDefault="009A1CC3" w:rsidP="005A18A7">
      <w:pPr>
        <w:ind w:left="720"/>
        <w:rPr>
          <w:lang w:val="en-US"/>
        </w:rPr>
      </w:pPr>
    </w:p>
    <w:p w14:paraId="74299DEB" w14:textId="37DFBC08" w:rsidR="009A1CC3" w:rsidRDefault="006C4386" w:rsidP="005A18A7">
      <w:pPr>
        <w:ind w:left="720"/>
        <w:rPr>
          <w:lang w:val="en-US" w:eastAsia="ko-KR"/>
        </w:rPr>
      </w:pPr>
      <w:r>
        <w:rPr>
          <w:noProof/>
        </w:rPr>
        <w:object w:dxaOrig="14076" w:dyaOrig="4105" w14:anchorId="00D13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67.3pt;height:136.55pt;mso-width-percent:0;mso-height-percent:0;mso-width-percent:0;mso-height-percent:0" o:ole="">
            <v:imagedata r:id="rId7" o:title=""/>
          </v:shape>
          <o:OLEObject Type="Embed" ProgID="Visio.Drawing.15" ShapeID="_x0000_i1026" DrawAspect="Content" ObjectID="_1735517171" r:id="rId8"/>
        </w:object>
      </w:r>
    </w:p>
    <w:p w14:paraId="471E6EB1" w14:textId="2FA0C2A0" w:rsidR="00E5360C" w:rsidRPr="00DD4DB2" w:rsidRDefault="00DD4DB2" w:rsidP="00933EA5">
      <w:pPr>
        <w:numPr>
          <w:ilvl w:val="0"/>
          <w:numId w:val="7"/>
        </w:numPr>
        <w:rPr>
          <w:lang w:val="en-US" w:eastAsia="ko-KR"/>
        </w:rPr>
      </w:pPr>
      <w:r w:rsidRPr="00DD4DB2">
        <w:rPr>
          <w:rFonts w:hint="eastAsia"/>
          <w:lang w:val="en-US" w:eastAsia="ko-KR"/>
        </w:rPr>
        <w:t>In</w:t>
      </w:r>
      <w:r w:rsidRPr="00DD4DB2">
        <w:rPr>
          <w:lang w:val="en-US" w:eastAsia="ko-KR"/>
        </w:rPr>
        <w:t xml:space="preserve"> </w:t>
      </w:r>
      <w:r w:rsidR="00AC4D15">
        <w:rPr>
          <w:lang w:val="en-US" w:eastAsia="ko-KR"/>
        </w:rPr>
        <w:t>1535r</w:t>
      </w:r>
      <w:r w:rsidRPr="00DD4DB2">
        <w:rPr>
          <w:rFonts w:hint="eastAsia"/>
          <w:lang w:val="en-US" w:eastAsia="ko-KR"/>
        </w:rPr>
        <w:t>1,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a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method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that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a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P2P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initiator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STA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sends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initial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control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frame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to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a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P2P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recipient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STA,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which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is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a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non-AP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STA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affiliated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with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EMLSR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non-AP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MLD</w:t>
      </w:r>
      <w:r w:rsidR="00CD41F8">
        <w:rPr>
          <w:lang w:val="en-US" w:eastAsia="ko-KR"/>
        </w:rPr>
        <w:t xml:space="preserve"> was discussed</w:t>
      </w:r>
      <w:r w:rsidRPr="00DD4DB2">
        <w:rPr>
          <w:rFonts w:hint="eastAsia"/>
          <w:lang w:val="en-US" w:eastAsia="ko-KR"/>
        </w:rPr>
        <w:t>.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In</w:t>
      </w:r>
      <w:r w:rsidRPr="00DD4DB2">
        <w:rPr>
          <w:lang w:val="en-US" w:eastAsia="ko-KR"/>
        </w:rPr>
        <w:t xml:space="preserve"> </w:t>
      </w:r>
      <w:r w:rsidR="005B7BFB">
        <w:rPr>
          <w:lang w:val="en-US" w:eastAsia="ko-KR"/>
        </w:rPr>
        <w:t>this contribution</w:t>
      </w:r>
      <w:r w:rsidR="00937E76">
        <w:rPr>
          <w:lang w:val="en-US" w:eastAsia="ko-KR"/>
        </w:rPr>
        <w:t>, 1535r2</w:t>
      </w:r>
      <w:r w:rsidRPr="00DD4DB2">
        <w:rPr>
          <w:rFonts w:hint="eastAsia"/>
          <w:lang w:val="en-US" w:eastAsia="ko-KR"/>
        </w:rPr>
        <w:t>,</w:t>
      </w:r>
      <w:r w:rsidRPr="00DD4DB2">
        <w:rPr>
          <w:lang w:val="en-US" w:eastAsia="ko-KR"/>
        </w:rPr>
        <w:t xml:space="preserve"> </w:t>
      </w:r>
      <w:r w:rsidR="003F26DF">
        <w:rPr>
          <w:lang w:val="en-US" w:eastAsia="ko-KR"/>
        </w:rPr>
        <w:t xml:space="preserve">a </w:t>
      </w:r>
      <w:r w:rsidRPr="00DD4DB2">
        <w:rPr>
          <w:rFonts w:hint="eastAsia"/>
          <w:lang w:val="en-US" w:eastAsia="ko-KR"/>
        </w:rPr>
        <w:t>simple</w:t>
      </w:r>
      <w:r w:rsidR="003F26DF">
        <w:rPr>
          <w:lang w:val="en-US" w:eastAsia="ko-KR"/>
        </w:rPr>
        <w:t>r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method</w:t>
      </w:r>
      <w:r w:rsidR="003F26DF">
        <w:rPr>
          <w:lang w:val="en-US" w:eastAsia="ko-KR"/>
        </w:rPr>
        <w:t xml:space="preserve"> to address the issue is </w:t>
      </w:r>
      <w:r w:rsidR="00CC45DB">
        <w:rPr>
          <w:lang w:val="en-US" w:eastAsia="ko-KR"/>
        </w:rPr>
        <w:t>discussed: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EMLSR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non-AP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MLD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disables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EMLSR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mode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before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perform</w:t>
      </w:r>
      <w:r>
        <w:rPr>
          <w:rFonts w:hint="eastAsia"/>
          <w:lang w:val="en-US" w:eastAsia="ko-KR"/>
        </w:rPr>
        <w:t>ing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P2P</w:t>
      </w:r>
      <w:r w:rsidRPr="00DD4DB2">
        <w:rPr>
          <w:lang w:val="en-US" w:eastAsia="ko-KR"/>
        </w:rPr>
        <w:t xml:space="preserve"> </w:t>
      </w:r>
      <w:r w:rsidRPr="00DD4DB2">
        <w:rPr>
          <w:rFonts w:hint="eastAsia"/>
          <w:lang w:val="en-US" w:eastAsia="ko-KR"/>
        </w:rPr>
        <w:t>operation.</w:t>
      </w:r>
    </w:p>
    <w:p w14:paraId="4E9D0021" w14:textId="58FD2F9F" w:rsidR="00ED35BE" w:rsidRDefault="00297EA4" w:rsidP="00933EA5">
      <w:pPr>
        <w:numPr>
          <w:ilvl w:val="0"/>
          <w:numId w:val="7"/>
        </w:numPr>
        <w:rPr>
          <w:lang w:val="en-US"/>
        </w:rPr>
      </w:pPr>
      <w:r>
        <w:rPr>
          <w:lang w:val="en-US" w:eastAsia="ko-KR"/>
        </w:rPr>
        <w:t xml:space="preserve">The proposed resolution </w:t>
      </w:r>
      <w:r w:rsidR="00C72684">
        <w:t xml:space="preserve">is </w:t>
      </w:r>
      <w:r w:rsidR="00E553BE">
        <w:t>disabling</w:t>
      </w:r>
      <w:r w:rsidR="001C3CE0">
        <w:t xml:space="preserve"> EMLSR </w:t>
      </w:r>
      <w:r w:rsidR="00DE0EED">
        <w:t xml:space="preserve">mode </w:t>
      </w:r>
      <w:r w:rsidR="00750E3B">
        <w:t>operation</w:t>
      </w:r>
      <w:r w:rsidR="00512E6E">
        <w:t xml:space="preserve"> of </w:t>
      </w:r>
      <w:r w:rsidR="00DD4DB2">
        <w:rPr>
          <w:rFonts w:hint="eastAsia"/>
          <w:lang w:eastAsia="ko-KR"/>
        </w:rPr>
        <w:t>an</w:t>
      </w:r>
      <w:r w:rsidR="00DD4DB2">
        <w:t xml:space="preserve"> </w:t>
      </w:r>
      <w:r w:rsidR="00512E6E">
        <w:t xml:space="preserve">EMLSR </w:t>
      </w:r>
      <w:r w:rsidR="00DD4DB2">
        <w:rPr>
          <w:rFonts w:hint="eastAsia"/>
          <w:lang w:eastAsia="ko-KR"/>
        </w:rPr>
        <w:t>non-AP</w:t>
      </w:r>
      <w:r w:rsidR="00512E6E">
        <w:t xml:space="preserve"> MLD</w:t>
      </w:r>
      <w:r w:rsidR="00D95B73">
        <w:t xml:space="preserve"> before </w:t>
      </w:r>
      <w:r w:rsidR="00F64D4A">
        <w:rPr>
          <w:lang w:val="en-US" w:eastAsia="ko-KR"/>
        </w:rPr>
        <w:t xml:space="preserve">performing </w:t>
      </w:r>
      <w:r w:rsidR="0082553A">
        <w:rPr>
          <w:lang w:val="en-US" w:eastAsia="ko-KR"/>
        </w:rPr>
        <w:t>P2P communication</w:t>
      </w:r>
      <w:r w:rsidR="00EE0E59">
        <w:rPr>
          <w:lang w:val="en-US" w:eastAsia="ko-KR"/>
        </w:rPr>
        <w:t xml:space="preserve">. It can be accomplished </w:t>
      </w:r>
      <w:r w:rsidR="00E553BE">
        <w:rPr>
          <w:lang w:val="en-US" w:eastAsia="ko-KR"/>
        </w:rPr>
        <w:t>during or before</w:t>
      </w:r>
      <w:r w:rsidR="00EE0E59">
        <w:rPr>
          <w:lang w:val="en-US" w:eastAsia="ko-KR"/>
        </w:rPr>
        <w:t xml:space="preserve"> P2P setup procedure (e.g., </w:t>
      </w:r>
      <w:r w:rsidR="00BC16B5">
        <w:rPr>
          <w:lang w:val="en-US" w:eastAsia="ko-KR"/>
        </w:rPr>
        <w:t>TDLS setup)</w:t>
      </w:r>
      <w:r w:rsidR="00557ECE">
        <w:rPr>
          <w:lang w:val="en-US" w:eastAsia="ko-KR"/>
        </w:rPr>
        <w:t>.</w:t>
      </w:r>
    </w:p>
    <w:p w14:paraId="7DA16858" w14:textId="59A342D7" w:rsidR="0078768E" w:rsidRPr="00933EA5" w:rsidRDefault="0078768E" w:rsidP="0078768E">
      <w:pPr>
        <w:numPr>
          <w:ilvl w:val="1"/>
          <w:numId w:val="7"/>
        </w:numPr>
        <w:rPr>
          <w:lang w:val="en-US"/>
        </w:rPr>
      </w:pPr>
      <w:r>
        <w:rPr>
          <w:rFonts w:hint="eastAsia"/>
          <w:lang w:val="en-US" w:eastAsia="ko-KR"/>
        </w:rPr>
        <w:t>E.g.,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Before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TDLS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setup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is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completed,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non-AP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STA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MLD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EMLSR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mode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shall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be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disabled.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After</w:t>
      </w:r>
      <w:r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the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non-AP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STA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MLD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EMLSR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mode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is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disabled,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TDLS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setup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can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be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completed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and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peer-to-peer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communication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between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the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STA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and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the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other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STA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can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be</w:t>
      </w:r>
      <w:r w:rsidR="00DD4DB2">
        <w:rPr>
          <w:lang w:val="en-US" w:eastAsia="ko-KR"/>
        </w:rPr>
        <w:t xml:space="preserve"> </w:t>
      </w:r>
      <w:r w:rsidR="00DD4DB2">
        <w:rPr>
          <w:rFonts w:hint="eastAsia"/>
          <w:lang w:val="en-US" w:eastAsia="ko-KR"/>
        </w:rPr>
        <w:t>performed.</w:t>
      </w:r>
    </w:p>
    <w:p w14:paraId="7517D25D" w14:textId="2DEE3651" w:rsidR="009A1CC3" w:rsidRDefault="009A1CC3" w:rsidP="005A18A7">
      <w:pPr>
        <w:ind w:left="720"/>
        <w:rPr>
          <w:lang w:val="en-US" w:eastAsia="ko-KR"/>
        </w:rPr>
      </w:pPr>
    </w:p>
    <w:p w14:paraId="2F940073" w14:textId="4633AF23" w:rsidR="00575D93" w:rsidRPr="00851F12" w:rsidRDefault="006C4386" w:rsidP="000B3F36">
      <w:pPr>
        <w:rPr>
          <w:rStyle w:val="fontstyle01"/>
          <w:rFonts w:hint="eastAsia"/>
          <w:lang w:val="en-US"/>
        </w:rPr>
      </w:pPr>
      <w:r>
        <w:rPr>
          <w:noProof/>
        </w:rPr>
        <w:object w:dxaOrig="17611" w:dyaOrig="6392" w14:anchorId="45B265B2">
          <v:shape id="_x0000_i1025" type="#_x0000_t75" alt="" style="width:467.3pt;height:169.8pt;mso-width-percent:0;mso-height-percent:0;mso-width-percent:0;mso-height-percent:0" o:ole="">
            <v:imagedata r:id="rId9" o:title=""/>
          </v:shape>
          <o:OLEObject Type="Embed" ProgID="Visio.Drawing.15" ShapeID="_x0000_i1025" DrawAspect="Content" ObjectID="_1735517172" r:id="rId10"/>
        </w:object>
      </w:r>
    </w:p>
    <w:p w14:paraId="453E6E2C" w14:textId="47D2BEBC" w:rsidR="00CA092E" w:rsidRDefault="00CA092E">
      <w:pPr>
        <w:rPr>
          <w:rFonts w:ascii="Arial" w:hAnsi="Arial"/>
          <w:b/>
          <w:sz w:val="28"/>
          <w:u w:val="single"/>
        </w:rPr>
      </w:pPr>
    </w:p>
    <w:p w14:paraId="5BE203DB" w14:textId="5D05DEBA" w:rsidR="00575D93" w:rsidRDefault="00575D93" w:rsidP="00575D93">
      <w:pPr>
        <w:pStyle w:val="2"/>
        <w:rPr>
          <w:lang w:eastAsia="ko-KR"/>
        </w:rPr>
      </w:pPr>
      <w:r>
        <w:rPr>
          <w:rFonts w:hint="eastAsia"/>
        </w:rPr>
        <w:t>P</w:t>
      </w:r>
      <w:r>
        <w:t>roposed Changes to IEEE 802.11be D2.</w:t>
      </w:r>
      <w:r w:rsidR="00163B2B">
        <w:rPr>
          <w:rFonts w:hint="eastAsia"/>
          <w:lang w:eastAsia="ko-KR"/>
        </w:rPr>
        <w:t>3</w:t>
      </w:r>
    </w:p>
    <w:p w14:paraId="08BADEB9" w14:textId="77777777" w:rsidR="00575D93" w:rsidRPr="00AC2E62" w:rsidRDefault="00575D93" w:rsidP="00575D93"/>
    <w:p w14:paraId="6E0ED7A1" w14:textId="77777777" w:rsidR="00575D93" w:rsidRDefault="00575D93" w:rsidP="000B3F36">
      <w:pPr>
        <w:rPr>
          <w:rStyle w:val="fontstyle01"/>
          <w:rFonts w:hint="eastAsia"/>
        </w:rPr>
      </w:pPr>
    </w:p>
    <w:p w14:paraId="5FFE589E" w14:textId="03FF23D8" w:rsidR="000B3F36" w:rsidRDefault="000B3F36" w:rsidP="000B3F36">
      <w:pPr>
        <w:rPr>
          <w:rStyle w:val="fontstyle01"/>
          <w:rFonts w:hint="eastAsia"/>
        </w:rPr>
      </w:pPr>
      <w:r>
        <w:rPr>
          <w:rStyle w:val="fontstyle01"/>
        </w:rPr>
        <w:t xml:space="preserve">35.2.1.2.3 </w:t>
      </w:r>
      <w:proofErr w:type="gramStart"/>
      <w:r>
        <w:rPr>
          <w:rStyle w:val="fontstyle01"/>
        </w:rPr>
        <w:t>Non-AP STA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behavior</w:t>
      </w:r>
      <w:proofErr w:type="spellEnd"/>
    </w:p>
    <w:p w14:paraId="26A69712" w14:textId="77777777" w:rsidR="009A1CC3" w:rsidRPr="009A1CC3" w:rsidRDefault="009A1CC3" w:rsidP="005A18A7">
      <w:pPr>
        <w:ind w:left="720"/>
        <w:rPr>
          <w:lang w:val="en-US" w:eastAsia="ko-KR"/>
        </w:rPr>
      </w:pPr>
    </w:p>
    <w:p w14:paraId="334BD1BA" w14:textId="2F57C926" w:rsidR="00BF293A" w:rsidRPr="00331EA8" w:rsidRDefault="00BF293A" w:rsidP="00BF293A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 w:rsidR="009706B3">
        <w:rPr>
          <w:b/>
          <w:bCs/>
          <w:i/>
          <w:iCs/>
          <w:highlight w:val="yellow"/>
        </w:rPr>
        <w:t>add</w:t>
      </w:r>
      <w:r w:rsidRPr="00331EA8">
        <w:rPr>
          <w:b/>
          <w:bCs/>
          <w:i/>
          <w:iCs/>
          <w:highlight w:val="yellow"/>
        </w:rPr>
        <w:t xml:space="preserve"> the following </w:t>
      </w:r>
      <w:r w:rsidR="00C052FD">
        <w:rPr>
          <w:b/>
          <w:bCs/>
          <w:i/>
          <w:iCs/>
          <w:highlight w:val="yellow"/>
          <w:lang w:val="en-US" w:eastAsia="ko-KR"/>
        </w:rPr>
        <w:t>changes</w:t>
      </w:r>
      <w:r>
        <w:rPr>
          <w:b/>
          <w:bCs/>
          <w:i/>
          <w:iCs/>
          <w:highlight w:val="yellow"/>
        </w:rPr>
        <w:t xml:space="preserve"> at P4</w:t>
      </w:r>
      <w:r w:rsidR="0099620E">
        <w:rPr>
          <w:b/>
          <w:bCs/>
          <w:i/>
          <w:iCs/>
          <w:highlight w:val="yellow"/>
        </w:rPr>
        <w:t>34</w:t>
      </w:r>
      <w:r>
        <w:rPr>
          <w:b/>
          <w:bCs/>
          <w:i/>
          <w:iCs/>
          <w:highlight w:val="yellow"/>
        </w:rPr>
        <w:t>L</w:t>
      </w:r>
      <w:r w:rsidR="009706B3">
        <w:rPr>
          <w:b/>
          <w:bCs/>
          <w:i/>
          <w:iCs/>
          <w:highlight w:val="yellow"/>
        </w:rPr>
        <w:t>56</w:t>
      </w:r>
      <w:r>
        <w:rPr>
          <w:b/>
          <w:bCs/>
          <w:i/>
          <w:iCs/>
          <w:highlight w:val="yellow"/>
        </w:rPr>
        <w:t xml:space="preserve"> </w:t>
      </w:r>
      <w:r w:rsidRPr="00331EA8">
        <w:rPr>
          <w:b/>
          <w:bCs/>
          <w:i/>
          <w:iCs/>
          <w:highlight w:val="yellow"/>
        </w:rPr>
        <w:t>of 11be draft 2.</w:t>
      </w:r>
      <w:r w:rsidR="008F70D5">
        <w:rPr>
          <w:b/>
          <w:bCs/>
          <w:i/>
          <w:iCs/>
          <w:highlight w:val="yellow"/>
        </w:rPr>
        <w:t>3</w:t>
      </w:r>
      <w:r w:rsidRPr="00331EA8">
        <w:rPr>
          <w:b/>
          <w:bCs/>
          <w:i/>
          <w:iCs/>
          <w:highlight w:val="yellow"/>
        </w:rPr>
        <w:t>:</w:t>
      </w:r>
    </w:p>
    <w:p w14:paraId="7ADC36D6" w14:textId="08627681" w:rsidR="008D67CA" w:rsidRDefault="008D67CA" w:rsidP="009A1CC3"/>
    <w:p w14:paraId="705CF909" w14:textId="32C53E14" w:rsidR="00FA44B8" w:rsidRDefault="00FA44B8" w:rsidP="00FA44B8">
      <w:r>
        <w:t>(#</w:t>
      </w:r>
      <w:proofErr w:type="gramStart"/>
      <w:r>
        <w:t>14027)(</w:t>
      </w:r>
      <w:proofErr w:type="gramEnd"/>
      <w:r>
        <w:t>#13317)(#14056) The non-AP EHT STA may use the time allocated by the associated AP in the MU-RTS TXS Trigger frame with the Triggered TXOP Sharing Mode subfield value set to 2 for transmission of non-TB PPDUs to the AP or another STA(s) if the (#12943) Triggered TXOP Sharing Mode subfield value is 2. The non-AP EHT STA may (#13722) return a QoS Data or QoS Null frame to an associated AP to terminate the allocated time, (#</w:t>
      </w:r>
      <w:proofErr w:type="gramStart"/>
      <w:r>
        <w:t>12503)in</w:t>
      </w:r>
      <w:proofErr w:type="gramEnd"/>
      <w:r>
        <w:t xml:space="preserve"> which case the RDG/More PPDU subfield in the CAS Control subfield of the HE variant HT Control field of the frame is equal to 0.</w:t>
      </w:r>
    </w:p>
    <w:p w14:paraId="39CAB599" w14:textId="77777777" w:rsidR="00FA44B8" w:rsidRDefault="00FA44B8" w:rsidP="00FA44B8"/>
    <w:p w14:paraId="0A9F1571" w14:textId="2807268E" w:rsidR="00FA44B8" w:rsidRDefault="00FA44B8" w:rsidP="00FA44B8">
      <w:r>
        <w:t>NOTE 1—For example, the other STA can be a peer STA of a peer-to-peer link.</w:t>
      </w:r>
    </w:p>
    <w:p w14:paraId="7EF5D4D4" w14:textId="1E4C0450" w:rsidR="003937E3" w:rsidRPr="00F97722" w:rsidRDefault="003937E3" w:rsidP="00FA44B8">
      <w:pPr>
        <w:rPr>
          <w:color w:val="FF0000"/>
          <w:u w:val="single"/>
        </w:rPr>
      </w:pPr>
      <w:r w:rsidRPr="00F97722">
        <w:rPr>
          <w:rFonts w:hint="eastAsia"/>
          <w:color w:val="FF0000"/>
          <w:u w:val="single"/>
        </w:rPr>
        <w:t>N</w:t>
      </w:r>
      <w:r w:rsidRPr="00F97722">
        <w:rPr>
          <w:color w:val="FF0000"/>
          <w:u w:val="single"/>
        </w:rPr>
        <w:t>OTE 2—</w:t>
      </w:r>
      <w:r w:rsidR="004F6336" w:rsidRPr="00F97722">
        <w:rPr>
          <w:color w:val="FF0000"/>
          <w:u w:val="single"/>
        </w:rPr>
        <w:t>Before</w:t>
      </w:r>
      <w:r w:rsidR="004F7A38" w:rsidRPr="00F97722">
        <w:rPr>
          <w:color w:val="FF0000"/>
          <w:u w:val="single"/>
        </w:rPr>
        <w:t xml:space="preserve"> </w:t>
      </w:r>
      <w:r w:rsidR="0000109A">
        <w:rPr>
          <w:rFonts w:hint="eastAsia"/>
          <w:color w:val="FF0000"/>
          <w:u w:val="single"/>
          <w:lang w:eastAsia="ko-KR"/>
        </w:rPr>
        <w:t>a</w:t>
      </w:r>
      <w:r w:rsidR="0000109A">
        <w:rPr>
          <w:color w:val="FF0000"/>
          <w:u w:val="single"/>
        </w:rPr>
        <w:t xml:space="preserve"> </w:t>
      </w:r>
      <w:r w:rsidR="004F6336" w:rsidRPr="00F97722">
        <w:rPr>
          <w:color w:val="FF0000"/>
          <w:u w:val="single"/>
        </w:rPr>
        <w:t xml:space="preserve">non-AP EHT STA </w:t>
      </w:r>
      <w:r w:rsidR="00CD379C" w:rsidRPr="00F97722">
        <w:rPr>
          <w:color w:val="FF0000"/>
          <w:u w:val="single"/>
        </w:rPr>
        <w:t>transmit</w:t>
      </w:r>
      <w:r w:rsidR="0056438C">
        <w:rPr>
          <w:color w:val="FF0000"/>
          <w:u w:val="single"/>
        </w:rPr>
        <w:t>s</w:t>
      </w:r>
      <w:r w:rsidR="00CD379C" w:rsidRPr="00F97722">
        <w:rPr>
          <w:color w:val="FF0000"/>
          <w:u w:val="single"/>
        </w:rPr>
        <w:t xml:space="preserve"> non-TB PPDU</w:t>
      </w:r>
      <w:r w:rsidR="00A63452" w:rsidRPr="00F97722">
        <w:rPr>
          <w:color w:val="FF0000"/>
          <w:u w:val="single"/>
        </w:rPr>
        <w:t xml:space="preserve"> to the other STA</w:t>
      </w:r>
      <w:r w:rsidR="00CD379C" w:rsidRPr="00F97722">
        <w:rPr>
          <w:color w:val="FF0000"/>
          <w:u w:val="single"/>
        </w:rPr>
        <w:t xml:space="preserve"> in time allocated by the associated AP, </w:t>
      </w:r>
      <w:r w:rsidR="00370ED3" w:rsidRPr="00F97722">
        <w:rPr>
          <w:color w:val="FF0000"/>
          <w:u w:val="single"/>
        </w:rPr>
        <w:t xml:space="preserve">it </w:t>
      </w:r>
      <w:r w:rsidR="00A63452" w:rsidRPr="00F97722">
        <w:rPr>
          <w:color w:val="FF0000"/>
          <w:u w:val="single"/>
        </w:rPr>
        <w:t xml:space="preserve">should </w:t>
      </w:r>
      <w:r w:rsidR="00836770" w:rsidRPr="00F97722">
        <w:rPr>
          <w:color w:val="FF0000"/>
          <w:u w:val="single"/>
        </w:rPr>
        <w:t>complete</w:t>
      </w:r>
      <w:r w:rsidR="00A63452" w:rsidRPr="00F97722">
        <w:rPr>
          <w:color w:val="FF0000"/>
          <w:u w:val="single"/>
        </w:rPr>
        <w:t xml:space="preserve"> </w:t>
      </w:r>
      <w:r w:rsidR="0000109A">
        <w:rPr>
          <w:rFonts w:hint="eastAsia"/>
          <w:color w:val="FF0000"/>
          <w:u w:val="single"/>
          <w:lang w:eastAsia="ko-KR"/>
        </w:rPr>
        <w:t>a</w:t>
      </w:r>
      <w:r w:rsidR="0000109A">
        <w:rPr>
          <w:color w:val="FF0000"/>
          <w:u w:val="single"/>
        </w:rPr>
        <w:t xml:space="preserve"> </w:t>
      </w:r>
      <w:r w:rsidR="00836770" w:rsidRPr="00F97722">
        <w:rPr>
          <w:color w:val="FF0000"/>
          <w:u w:val="single"/>
        </w:rPr>
        <w:t xml:space="preserve">TDLS setup with the other </w:t>
      </w:r>
      <w:r w:rsidR="00137AA5">
        <w:rPr>
          <w:rFonts w:hint="eastAsia"/>
          <w:color w:val="FF0000"/>
          <w:u w:val="single"/>
          <w:lang w:eastAsia="ko-KR"/>
        </w:rPr>
        <w:t>non-AP</w:t>
      </w:r>
      <w:r w:rsidR="00137AA5">
        <w:rPr>
          <w:color w:val="FF0000"/>
          <w:u w:val="single"/>
        </w:rPr>
        <w:t xml:space="preserve"> </w:t>
      </w:r>
      <w:r w:rsidR="00836770" w:rsidRPr="00F97722">
        <w:rPr>
          <w:color w:val="FF0000"/>
          <w:u w:val="single"/>
        </w:rPr>
        <w:t>STA.</w:t>
      </w:r>
    </w:p>
    <w:p w14:paraId="01C0A64D" w14:textId="77777777" w:rsidR="004A14A7" w:rsidRPr="0000109A" w:rsidRDefault="004A14A7" w:rsidP="00FA44B8"/>
    <w:p w14:paraId="0303B2D9" w14:textId="77777777" w:rsidR="004A14A7" w:rsidRDefault="004A14A7" w:rsidP="00FA44B8"/>
    <w:p w14:paraId="3B82F070" w14:textId="26E97999" w:rsidR="004A14A7" w:rsidRPr="006A307A" w:rsidRDefault="004A14A7" w:rsidP="004A14A7">
      <w:pPr>
        <w:rPr>
          <w:rStyle w:val="fontstyle01"/>
          <w:rFonts w:hint="eastAsia"/>
          <w:lang w:val="en-US" w:eastAsia="ko-KR"/>
        </w:rPr>
      </w:pPr>
      <w:r>
        <w:rPr>
          <w:rStyle w:val="fontstyle01"/>
        </w:rPr>
        <w:t>35.</w:t>
      </w:r>
      <w:r w:rsidR="000862FF">
        <w:rPr>
          <w:rStyle w:val="fontstyle01"/>
        </w:rPr>
        <w:t>3.</w:t>
      </w:r>
      <w:r w:rsidR="00B84B44">
        <w:rPr>
          <w:rStyle w:val="fontstyle01"/>
          <w:rFonts w:hint="eastAsia"/>
          <w:lang w:eastAsia="ko-KR"/>
        </w:rPr>
        <w:t>17</w:t>
      </w:r>
      <w:r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Enhanced</w:t>
      </w:r>
      <w:r w:rsidR="00B84B44"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multi-link</w:t>
      </w:r>
      <w:r w:rsidR="00B84B44"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single</w:t>
      </w:r>
      <w:r w:rsidR="00B84B44"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radio</w:t>
      </w:r>
      <w:r w:rsidR="008045A9">
        <w:rPr>
          <w:rStyle w:val="fontstyle01"/>
          <w:lang w:eastAsia="ko-KR"/>
        </w:rPr>
        <w:t xml:space="preserve"> </w:t>
      </w:r>
      <w:r w:rsidR="008045A9">
        <w:rPr>
          <w:rStyle w:val="fontstyle01"/>
          <w:rFonts w:hint="eastAsia"/>
          <w:lang w:eastAsia="ko-KR"/>
        </w:rPr>
        <w:t>operation</w:t>
      </w:r>
    </w:p>
    <w:p w14:paraId="326AC632" w14:textId="79ED9051" w:rsidR="00F52DBF" w:rsidRPr="00331EA8" w:rsidRDefault="00F52DBF" w:rsidP="00F52DBF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add</w:t>
      </w:r>
      <w:r w:rsidRPr="00331EA8">
        <w:rPr>
          <w:b/>
          <w:bCs/>
          <w:i/>
          <w:iCs/>
          <w:highlight w:val="yellow"/>
        </w:rPr>
        <w:t xml:space="preserve"> the following </w:t>
      </w:r>
      <w:r w:rsidR="00C052FD">
        <w:rPr>
          <w:b/>
          <w:bCs/>
          <w:i/>
          <w:iCs/>
          <w:highlight w:val="yellow"/>
        </w:rPr>
        <w:t>changes</w:t>
      </w:r>
      <w:r>
        <w:rPr>
          <w:b/>
          <w:bCs/>
          <w:i/>
          <w:iCs/>
          <w:highlight w:val="yellow"/>
        </w:rPr>
        <w:t xml:space="preserve"> at P</w:t>
      </w:r>
      <w:r w:rsidR="000862FF">
        <w:rPr>
          <w:b/>
          <w:bCs/>
          <w:i/>
          <w:iCs/>
          <w:highlight w:val="yellow"/>
        </w:rPr>
        <w:t>5</w:t>
      </w:r>
      <w:r w:rsidR="00B84B44">
        <w:rPr>
          <w:rFonts w:hint="eastAsia"/>
          <w:b/>
          <w:bCs/>
          <w:i/>
          <w:iCs/>
          <w:highlight w:val="yellow"/>
          <w:lang w:eastAsia="ko-KR"/>
        </w:rPr>
        <w:t>18</w:t>
      </w:r>
      <w:r>
        <w:rPr>
          <w:b/>
          <w:bCs/>
          <w:i/>
          <w:iCs/>
          <w:highlight w:val="yellow"/>
        </w:rPr>
        <w:t>L</w:t>
      </w:r>
      <w:r w:rsidR="00B84B44">
        <w:rPr>
          <w:rFonts w:hint="eastAsia"/>
          <w:b/>
          <w:bCs/>
          <w:i/>
          <w:iCs/>
          <w:highlight w:val="yellow"/>
          <w:lang w:eastAsia="ko-KR"/>
        </w:rPr>
        <w:t>47</w:t>
      </w:r>
      <w:r>
        <w:rPr>
          <w:b/>
          <w:bCs/>
          <w:i/>
          <w:iCs/>
          <w:highlight w:val="yellow"/>
        </w:rPr>
        <w:t xml:space="preserve"> </w:t>
      </w:r>
      <w:r w:rsidRPr="00331EA8">
        <w:rPr>
          <w:b/>
          <w:bCs/>
          <w:i/>
          <w:iCs/>
          <w:highlight w:val="yellow"/>
        </w:rPr>
        <w:t>of 11be draft 2.</w:t>
      </w:r>
      <w:r w:rsidR="000862FF">
        <w:rPr>
          <w:b/>
          <w:bCs/>
          <w:i/>
          <w:iCs/>
          <w:highlight w:val="yellow"/>
        </w:rPr>
        <w:t>3</w:t>
      </w:r>
      <w:r w:rsidRPr="00331EA8">
        <w:rPr>
          <w:b/>
          <w:bCs/>
          <w:i/>
          <w:iCs/>
          <w:highlight w:val="yellow"/>
        </w:rPr>
        <w:t>:</w:t>
      </w:r>
    </w:p>
    <w:p w14:paraId="51AE1B90" w14:textId="77777777" w:rsidR="004A14A7" w:rsidRPr="002B3AC0" w:rsidRDefault="004A14A7" w:rsidP="00FA44B8">
      <w:pPr>
        <w:rPr>
          <w:lang w:eastAsia="ko-KR"/>
        </w:rPr>
      </w:pPr>
    </w:p>
    <w:p w14:paraId="4F7D5E8E" w14:textId="5D4B99A6" w:rsidR="00163B2B" w:rsidRPr="002B3AC0" w:rsidRDefault="006A307A" w:rsidP="008F70D5">
      <w:pPr>
        <w:rPr>
          <w:color w:val="FF0000"/>
          <w:u w:val="single"/>
          <w:lang w:val="en-US" w:eastAsia="ko-KR"/>
        </w:rPr>
      </w:pPr>
      <w:r w:rsidRPr="00F97722">
        <w:rPr>
          <w:color w:val="FF0000"/>
          <w:u w:val="single"/>
          <w:lang w:val="en-US" w:eastAsia="ko-KR"/>
        </w:rPr>
        <w:t>When a non-AP MLD that is oper</w:t>
      </w:r>
      <w:r w:rsidR="00134CC4" w:rsidRPr="00F97722">
        <w:rPr>
          <w:color w:val="FF0000"/>
          <w:u w:val="single"/>
          <w:lang w:val="en-US" w:eastAsia="ko-KR"/>
        </w:rPr>
        <w:t xml:space="preserve">ating </w:t>
      </w:r>
      <w:r w:rsidR="00FA2585" w:rsidRPr="00F97722">
        <w:rPr>
          <w:color w:val="FF0000"/>
          <w:u w:val="single"/>
          <w:lang w:val="en-US" w:eastAsia="ko-KR"/>
        </w:rPr>
        <w:t xml:space="preserve">in </w:t>
      </w:r>
      <w:r w:rsidR="00134CC4" w:rsidRPr="00F97722">
        <w:rPr>
          <w:color w:val="FF0000"/>
          <w:u w:val="single"/>
          <w:lang w:val="en-US" w:eastAsia="ko-KR"/>
        </w:rPr>
        <w:t>EMLSR</w:t>
      </w:r>
      <w:r w:rsidR="00FA2585" w:rsidRPr="00F97722">
        <w:rPr>
          <w:color w:val="FF0000"/>
          <w:u w:val="single"/>
          <w:lang w:val="en-US" w:eastAsia="ko-KR"/>
        </w:rPr>
        <w:t xml:space="preserve"> mode</w:t>
      </w:r>
      <w:r w:rsidR="00134CC4" w:rsidRPr="00F97722">
        <w:rPr>
          <w:color w:val="FF0000"/>
          <w:u w:val="single"/>
          <w:lang w:val="en-US" w:eastAsia="ko-KR"/>
        </w:rPr>
        <w:t xml:space="preserve"> </w:t>
      </w:r>
      <w:r w:rsidR="00332585" w:rsidRPr="00F97722">
        <w:rPr>
          <w:color w:val="FF0000"/>
          <w:u w:val="single"/>
          <w:lang w:val="en-US" w:eastAsia="ko-KR"/>
        </w:rPr>
        <w:t xml:space="preserve">and if the non-AP MLD </w:t>
      </w:r>
      <w:r w:rsidR="004B37B6" w:rsidRPr="00F97722">
        <w:rPr>
          <w:color w:val="FF0000"/>
          <w:u w:val="single"/>
          <w:lang w:val="en-US" w:eastAsia="ko-KR"/>
        </w:rPr>
        <w:t>has to setup TDLS in</w:t>
      </w:r>
      <w:r w:rsidR="008F70D5" w:rsidRPr="00F97722">
        <w:rPr>
          <w:color w:val="FF0000"/>
          <w:u w:val="single"/>
          <w:lang w:val="en-US" w:eastAsia="ko-KR"/>
        </w:rPr>
        <w:t xml:space="preserve"> </w:t>
      </w:r>
      <w:r w:rsidR="00C979A0" w:rsidRPr="00F97722">
        <w:rPr>
          <w:color w:val="FF0000"/>
          <w:u w:val="single"/>
          <w:lang w:val="en-US" w:eastAsia="ko-KR"/>
        </w:rPr>
        <w:t xml:space="preserve">one of </w:t>
      </w:r>
      <w:r w:rsidR="008F70D5" w:rsidRPr="00F97722">
        <w:rPr>
          <w:color w:val="FF0000"/>
          <w:u w:val="single"/>
          <w:lang w:val="en-US" w:eastAsia="ko-KR"/>
        </w:rPr>
        <w:t>the</w:t>
      </w:r>
      <w:r w:rsidR="004B37B6" w:rsidRPr="00F97722">
        <w:rPr>
          <w:color w:val="FF0000"/>
          <w:u w:val="single"/>
          <w:lang w:val="en-US" w:eastAsia="ko-KR"/>
        </w:rPr>
        <w:t xml:space="preserve"> </w:t>
      </w:r>
      <w:r w:rsidR="00662678" w:rsidRPr="00F97722">
        <w:rPr>
          <w:color w:val="FF0000"/>
          <w:u w:val="single"/>
          <w:lang w:val="en-US" w:eastAsia="ko-KR"/>
        </w:rPr>
        <w:t xml:space="preserve">EMLSR </w:t>
      </w:r>
      <w:r w:rsidR="001B54E8" w:rsidRPr="00F97722">
        <w:rPr>
          <w:color w:val="FF0000"/>
          <w:u w:val="single"/>
          <w:lang w:val="en-US" w:eastAsia="ko-KR"/>
        </w:rPr>
        <w:t>links,</w:t>
      </w:r>
      <w:r w:rsidR="0056555B" w:rsidRPr="00F97722">
        <w:rPr>
          <w:color w:val="FF0000"/>
          <w:u w:val="single"/>
          <w:lang w:val="en-US" w:eastAsia="ko-KR"/>
        </w:rPr>
        <w:t xml:space="preserve"> it shall </w:t>
      </w:r>
      <w:r w:rsidR="00726FA4" w:rsidRPr="00F97722">
        <w:rPr>
          <w:color w:val="FF0000"/>
          <w:u w:val="single"/>
          <w:lang w:val="en-US" w:eastAsia="ko-KR"/>
        </w:rPr>
        <w:t>disable</w:t>
      </w:r>
      <w:r w:rsidR="0056555B" w:rsidRPr="00F97722">
        <w:rPr>
          <w:color w:val="FF0000"/>
          <w:u w:val="single"/>
          <w:lang w:val="en-US" w:eastAsia="ko-KR"/>
        </w:rPr>
        <w:t xml:space="preserve"> its </w:t>
      </w:r>
      <w:r w:rsidR="00726FA4" w:rsidRPr="00F97722">
        <w:rPr>
          <w:color w:val="FF0000"/>
          <w:u w:val="single"/>
          <w:lang w:val="en-US" w:eastAsia="ko-KR"/>
        </w:rPr>
        <w:t>EMLSR mode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E661CF" w:rsidRPr="00F97722">
        <w:rPr>
          <w:color w:val="FF0000"/>
          <w:u w:val="single"/>
          <w:lang w:val="en-US" w:eastAsia="ko-KR"/>
        </w:rPr>
        <w:t>and shall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be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capable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of</w:t>
      </w:r>
      <w:r w:rsidR="00E661CF" w:rsidRPr="00F97722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receiving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frames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without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C63EFF">
        <w:rPr>
          <w:color w:val="FF0000"/>
          <w:u w:val="single"/>
          <w:lang w:val="en-US" w:eastAsia="ko-KR"/>
        </w:rPr>
        <w:t xml:space="preserve">the reception of an </w:t>
      </w:r>
      <w:r w:rsidR="00B77468">
        <w:rPr>
          <w:rFonts w:hint="eastAsia"/>
          <w:color w:val="FF0000"/>
          <w:u w:val="single"/>
          <w:lang w:val="en-US" w:eastAsia="ko-KR"/>
        </w:rPr>
        <w:t>initial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control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B77468">
        <w:rPr>
          <w:rFonts w:hint="eastAsia"/>
          <w:color w:val="FF0000"/>
          <w:u w:val="single"/>
          <w:lang w:val="en-US" w:eastAsia="ko-KR"/>
        </w:rPr>
        <w:t>frame</w:t>
      </w:r>
      <w:r w:rsidR="00B77468">
        <w:rPr>
          <w:color w:val="FF0000"/>
          <w:u w:val="single"/>
          <w:lang w:val="en-US" w:eastAsia="ko-KR"/>
        </w:rPr>
        <w:t xml:space="preserve"> </w:t>
      </w:r>
      <w:r w:rsidR="00E661CF" w:rsidRPr="00F97722">
        <w:rPr>
          <w:color w:val="FF0000"/>
          <w:u w:val="single"/>
          <w:lang w:val="en-US" w:eastAsia="ko-KR"/>
        </w:rPr>
        <w:t xml:space="preserve">on </w:t>
      </w:r>
      <w:r w:rsidR="00EB60F0">
        <w:rPr>
          <w:rFonts w:hint="eastAsia"/>
          <w:color w:val="FF0000"/>
          <w:u w:val="single"/>
          <w:lang w:val="en-US" w:eastAsia="ko-KR"/>
        </w:rPr>
        <w:t>a</w:t>
      </w:r>
      <w:r w:rsidR="00EC003D" w:rsidRPr="00F97722">
        <w:rPr>
          <w:color w:val="FF0000"/>
          <w:u w:val="single"/>
          <w:lang w:val="en-US" w:eastAsia="ko-KR"/>
        </w:rPr>
        <w:t xml:space="preserve"> link which </w:t>
      </w:r>
      <w:r w:rsidR="00015EF7" w:rsidRPr="00F97722">
        <w:rPr>
          <w:color w:val="FF0000"/>
          <w:u w:val="single"/>
          <w:lang w:val="en-US" w:eastAsia="ko-KR"/>
        </w:rPr>
        <w:t xml:space="preserve">TDLS Discovery </w:t>
      </w:r>
      <w:r w:rsidR="00015EF7">
        <w:rPr>
          <w:color w:val="FF0000"/>
          <w:u w:val="single"/>
          <w:lang w:val="en-US" w:eastAsia="ko-KR"/>
        </w:rPr>
        <w:t>request frame, TDLS Discovery response frame</w:t>
      </w:r>
      <w:r w:rsidR="00015EF7" w:rsidRPr="00F97722">
        <w:rPr>
          <w:color w:val="FF0000"/>
          <w:u w:val="single"/>
          <w:lang w:val="en-US" w:eastAsia="ko-KR"/>
        </w:rPr>
        <w:t>, TDLS</w:t>
      </w:r>
      <w:r w:rsidR="00015EF7">
        <w:rPr>
          <w:color w:val="FF0000"/>
          <w:u w:val="single"/>
          <w:lang w:val="en-US" w:eastAsia="ko-KR"/>
        </w:rPr>
        <w:t xml:space="preserve"> Setup</w:t>
      </w:r>
      <w:r w:rsidR="00015EF7" w:rsidRPr="00F97722">
        <w:rPr>
          <w:color w:val="FF0000"/>
          <w:u w:val="single"/>
          <w:lang w:val="en-US" w:eastAsia="ko-KR"/>
        </w:rPr>
        <w:t xml:space="preserve"> </w:t>
      </w:r>
      <w:r w:rsidR="00015EF7">
        <w:rPr>
          <w:color w:val="FF0000"/>
          <w:u w:val="single"/>
          <w:lang w:val="en-US" w:eastAsia="ko-KR"/>
        </w:rPr>
        <w:t>request frame, TDLS Setup response frame, TDLS Setup confirm frame</w:t>
      </w:r>
      <w:r w:rsidR="00015EF7" w:rsidRPr="00F97722">
        <w:rPr>
          <w:color w:val="FF0000"/>
          <w:u w:val="single"/>
          <w:lang w:val="en-US" w:eastAsia="ko-KR"/>
        </w:rPr>
        <w:t xml:space="preserve"> and TDLS teardown </w:t>
      </w:r>
      <w:r w:rsidR="00D97A02" w:rsidRPr="00F97722">
        <w:rPr>
          <w:color w:val="FF0000"/>
          <w:u w:val="single"/>
          <w:lang w:val="en-US" w:eastAsia="ko-KR"/>
        </w:rPr>
        <w:t xml:space="preserve">frame are </w:t>
      </w:r>
      <w:r w:rsidR="00A4795E" w:rsidRPr="00F97722">
        <w:rPr>
          <w:color w:val="FF0000"/>
          <w:u w:val="single"/>
          <w:lang w:val="en-US" w:eastAsia="ko-KR"/>
        </w:rPr>
        <w:t>received or transmitted.</w:t>
      </w:r>
    </w:p>
    <w:sectPr w:rsidR="00163B2B" w:rsidRPr="002B3AC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C75F" w14:textId="77777777" w:rsidR="006C4386" w:rsidRDefault="006C4386">
      <w:r>
        <w:separator/>
      </w:r>
    </w:p>
  </w:endnote>
  <w:endnote w:type="continuationSeparator" w:id="0">
    <w:p w14:paraId="2DF25778" w14:textId="77777777" w:rsidR="006C4386" w:rsidRDefault="006C4386">
      <w:r>
        <w:continuationSeparator/>
      </w:r>
    </w:p>
  </w:endnote>
  <w:endnote w:type="continuationNotice" w:id="1">
    <w:p w14:paraId="6D3FA8B7" w14:textId="77777777" w:rsidR="006C4386" w:rsidRDefault="006C4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85190BC" w:rsidR="0029020B" w:rsidRDefault="00515B3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0B72B8">
      <w:t>Juseong</w:t>
    </w:r>
    <w:proofErr w:type="spellEnd"/>
    <w:r w:rsidR="000B72B8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1636" w14:textId="77777777" w:rsidR="006C4386" w:rsidRDefault="006C4386">
      <w:r>
        <w:separator/>
      </w:r>
    </w:p>
  </w:footnote>
  <w:footnote w:type="continuationSeparator" w:id="0">
    <w:p w14:paraId="5F80822E" w14:textId="77777777" w:rsidR="006C4386" w:rsidRDefault="006C4386">
      <w:r>
        <w:continuationSeparator/>
      </w:r>
    </w:p>
  </w:footnote>
  <w:footnote w:type="continuationNotice" w:id="1">
    <w:p w14:paraId="3E4FF21F" w14:textId="77777777" w:rsidR="006C4386" w:rsidRDefault="006C4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16A71CA9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575A4">
      <w:rPr>
        <w:lang w:val="en-US" w:eastAsia="ko-KR"/>
      </w:rPr>
      <w:t>January</w:t>
    </w:r>
    <w:r w:rsidR="000D3B15">
      <w:t xml:space="preserve"> 202</w:t>
    </w:r>
    <w:r w:rsidR="001575A4">
      <w:t>3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802.11-22/</w:t>
      </w:r>
      <w:r w:rsidR="0024230D">
        <w:t>153</w:t>
      </w:r>
      <w:r w:rsidR="009D7648">
        <w:t>5</w:t>
      </w:r>
      <w:r w:rsidR="000D3B15">
        <w:t>r</w:t>
      </w:r>
      <w:r w:rsidR="001575A4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519E3"/>
    <w:multiLevelType w:val="hybridMultilevel"/>
    <w:tmpl w:val="F9FE1910"/>
    <w:lvl w:ilvl="0" w:tplc="E73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6754194">
    <w:abstractNumId w:val="2"/>
  </w:num>
  <w:num w:numId="2" w16cid:durableId="1061489408">
    <w:abstractNumId w:val="8"/>
  </w:num>
  <w:num w:numId="3" w16cid:durableId="396100542">
    <w:abstractNumId w:val="1"/>
  </w:num>
  <w:num w:numId="4" w16cid:durableId="1530265669">
    <w:abstractNumId w:val="4"/>
  </w:num>
  <w:num w:numId="5" w16cid:durableId="1138491547">
    <w:abstractNumId w:val="5"/>
  </w:num>
  <w:num w:numId="6" w16cid:durableId="13697504">
    <w:abstractNumId w:val="3"/>
  </w:num>
  <w:num w:numId="7" w16cid:durableId="949432414">
    <w:abstractNumId w:val="7"/>
  </w:num>
  <w:num w:numId="8" w16cid:durableId="1118723955">
    <w:abstractNumId w:val="0"/>
  </w:num>
  <w:num w:numId="9" w16cid:durableId="1017779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109A"/>
    <w:rsid w:val="000025B0"/>
    <w:rsid w:val="00015EF7"/>
    <w:rsid w:val="00072CE7"/>
    <w:rsid w:val="000862FF"/>
    <w:rsid w:val="00097FE9"/>
    <w:rsid w:val="000A202A"/>
    <w:rsid w:val="000B3F36"/>
    <w:rsid w:val="000B72B8"/>
    <w:rsid w:val="000C151E"/>
    <w:rsid w:val="000D3B15"/>
    <w:rsid w:val="000F567E"/>
    <w:rsid w:val="001027C8"/>
    <w:rsid w:val="001128CF"/>
    <w:rsid w:val="00134CC4"/>
    <w:rsid w:val="0013757A"/>
    <w:rsid w:val="00137AA5"/>
    <w:rsid w:val="001513B5"/>
    <w:rsid w:val="001575A4"/>
    <w:rsid w:val="00161337"/>
    <w:rsid w:val="00163B2B"/>
    <w:rsid w:val="001A3AC5"/>
    <w:rsid w:val="001B54E8"/>
    <w:rsid w:val="001C3CE0"/>
    <w:rsid w:val="001C3E6F"/>
    <w:rsid w:val="001D682D"/>
    <w:rsid w:val="001D723B"/>
    <w:rsid w:val="001E0094"/>
    <w:rsid w:val="001E7B44"/>
    <w:rsid w:val="001F4967"/>
    <w:rsid w:val="0024230D"/>
    <w:rsid w:val="00257256"/>
    <w:rsid w:val="00260770"/>
    <w:rsid w:val="00267C5D"/>
    <w:rsid w:val="0027023B"/>
    <w:rsid w:val="00271B40"/>
    <w:rsid w:val="00273BC6"/>
    <w:rsid w:val="00282A83"/>
    <w:rsid w:val="0029020B"/>
    <w:rsid w:val="00297EA4"/>
    <w:rsid w:val="002A5C26"/>
    <w:rsid w:val="002A6A61"/>
    <w:rsid w:val="002B1037"/>
    <w:rsid w:val="002B3AC0"/>
    <w:rsid w:val="002C2F6A"/>
    <w:rsid w:val="002D44BE"/>
    <w:rsid w:val="002F0B19"/>
    <w:rsid w:val="00300ABE"/>
    <w:rsid w:val="003039A1"/>
    <w:rsid w:val="003140C4"/>
    <w:rsid w:val="00317525"/>
    <w:rsid w:val="00332585"/>
    <w:rsid w:val="003348D4"/>
    <w:rsid w:val="0034665E"/>
    <w:rsid w:val="00370ED3"/>
    <w:rsid w:val="00377928"/>
    <w:rsid w:val="003937E3"/>
    <w:rsid w:val="00397EF0"/>
    <w:rsid w:val="003A54CD"/>
    <w:rsid w:val="003D05DA"/>
    <w:rsid w:val="003D7204"/>
    <w:rsid w:val="003E77B0"/>
    <w:rsid w:val="003F26DF"/>
    <w:rsid w:val="00442037"/>
    <w:rsid w:val="00457913"/>
    <w:rsid w:val="00462902"/>
    <w:rsid w:val="004A14A7"/>
    <w:rsid w:val="004B064B"/>
    <w:rsid w:val="004B37B6"/>
    <w:rsid w:val="004D52AF"/>
    <w:rsid w:val="004E6665"/>
    <w:rsid w:val="004F6336"/>
    <w:rsid w:val="004F7A38"/>
    <w:rsid w:val="00512E6E"/>
    <w:rsid w:val="00513B61"/>
    <w:rsid w:val="00515B39"/>
    <w:rsid w:val="00537FCC"/>
    <w:rsid w:val="00547BF1"/>
    <w:rsid w:val="00557ECE"/>
    <w:rsid w:val="0056438C"/>
    <w:rsid w:val="0056555B"/>
    <w:rsid w:val="00566031"/>
    <w:rsid w:val="00575D93"/>
    <w:rsid w:val="005844E5"/>
    <w:rsid w:val="0059710D"/>
    <w:rsid w:val="005A18A7"/>
    <w:rsid w:val="005B034B"/>
    <w:rsid w:val="005B7BFB"/>
    <w:rsid w:val="005D37FE"/>
    <w:rsid w:val="005D5F76"/>
    <w:rsid w:val="0062440B"/>
    <w:rsid w:val="00625D3A"/>
    <w:rsid w:val="00640079"/>
    <w:rsid w:val="00655BFE"/>
    <w:rsid w:val="006565AD"/>
    <w:rsid w:val="00662678"/>
    <w:rsid w:val="006677AB"/>
    <w:rsid w:val="006A307A"/>
    <w:rsid w:val="006B1048"/>
    <w:rsid w:val="006C0727"/>
    <w:rsid w:val="006C280E"/>
    <w:rsid w:val="006C4386"/>
    <w:rsid w:val="006D1172"/>
    <w:rsid w:val="006E145F"/>
    <w:rsid w:val="006E7998"/>
    <w:rsid w:val="006E7AE7"/>
    <w:rsid w:val="00713896"/>
    <w:rsid w:val="00722845"/>
    <w:rsid w:val="00726FA4"/>
    <w:rsid w:val="00750E3B"/>
    <w:rsid w:val="00770572"/>
    <w:rsid w:val="00777E99"/>
    <w:rsid w:val="007809B8"/>
    <w:rsid w:val="0078768E"/>
    <w:rsid w:val="007939B4"/>
    <w:rsid w:val="007B0258"/>
    <w:rsid w:val="007E6ABD"/>
    <w:rsid w:val="008045A9"/>
    <w:rsid w:val="00805CD3"/>
    <w:rsid w:val="00806DF5"/>
    <w:rsid w:val="00816593"/>
    <w:rsid w:val="0082553A"/>
    <w:rsid w:val="0082659B"/>
    <w:rsid w:val="00836770"/>
    <w:rsid w:val="00840647"/>
    <w:rsid w:val="00841CB0"/>
    <w:rsid w:val="00851F12"/>
    <w:rsid w:val="00852A6A"/>
    <w:rsid w:val="0085600C"/>
    <w:rsid w:val="00870B03"/>
    <w:rsid w:val="008719B0"/>
    <w:rsid w:val="00881AF7"/>
    <w:rsid w:val="008B6C75"/>
    <w:rsid w:val="008C6741"/>
    <w:rsid w:val="008C6A12"/>
    <w:rsid w:val="008D67CA"/>
    <w:rsid w:val="008E4F1F"/>
    <w:rsid w:val="008F70D5"/>
    <w:rsid w:val="009135B4"/>
    <w:rsid w:val="00914B83"/>
    <w:rsid w:val="00933EA5"/>
    <w:rsid w:val="00937E76"/>
    <w:rsid w:val="009473B5"/>
    <w:rsid w:val="00957812"/>
    <w:rsid w:val="00964226"/>
    <w:rsid w:val="009706B3"/>
    <w:rsid w:val="00987ED9"/>
    <w:rsid w:val="0099002F"/>
    <w:rsid w:val="0099620E"/>
    <w:rsid w:val="009A1CC3"/>
    <w:rsid w:val="009A4393"/>
    <w:rsid w:val="009A48DD"/>
    <w:rsid w:val="009A4A5C"/>
    <w:rsid w:val="009A7D31"/>
    <w:rsid w:val="009D4802"/>
    <w:rsid w:val="009D7648"/>
    <w:rsid w:val="009E3D37"/>
    <w:rsid w:val="009F2FBC"/>
    <w:rsid w:val="00A06513"/>
    <w:rsid w:val="00A07316"/>
    <w:rsid w:val="00A11B2B"/>
    <w:rsid w:val="00A4795E"/>
    <w:rsid w:val="00A6160A"/>
    <w:rsid w:val="00A63452"/>
    <w:rsid w:val="00A74358"/>
    <w:rsid w:val="00AA427C"/>
    <w:rsid w:val="00AC2E62"/>
    <w:rsid w:val="00AC30E4"/>
    <w:rsid w:val="00AC4D15"/>
    <w:rsid w:val="00B436BA"/>
    <w:rsid w:val="00B53473"/>
    <w:rsid w:val="00B63925"/>
    <w:rsid w:val="00B73E65"/>
    <w:rsid w:val="00B77468"/>
    <w:rsid w:val="00B81EF8"/>
    <w:rsid w:val="00B84B44"/>
    <w:rsid w:val="00BB03B9"/>
    <w:rsid w:val="00BB6D75"/>
    <w:rsid w:val="00BC16B5"/>
    <w:rsid w:val="00BE68C2"/>
    <w:rsid w:val="00BF293A"/>
    <w:rsid w:val="00C052FD"/>
    <w:rsid w:val="00C2355B"/>
    <w:rsid w:val="00C3234D"/>
    <w:rsid w:val="00C466CB"/>
    <w:rsid w:val="00C63EFF"/>
    <w:rsid w:val="00C72684"/>
    <w:rsid w:val="00C7614F"/>
    <w:rsid w:val="00C906CE"/>
    <w:rsid w:val="00C979A0"/>
    <w:rsid w:val="00C97F42"/>
    <w:rsid w:val="00CA092E"/>
    <w:rsid w:val="00CA09B2"/>
    <w:rsid w:val="00CC45DB"/>
    <w:rsid w:val="00CD379C"/>
    <w:rsid w:val="00CD41F8"/>
    <w:rsid w:val="00CE4860"/>
    <w:rsid w:val="00CE6175"/>
    <w:rsid w:val="00CF01A6"/>
    <w:rsid w:val="00D34FFE"/>
    <w:rsid w:val="00D36FC8"/>
    <w:rsid w:val="00D47398"/>
    <w:rsid w:val="00D62EF8"/>
    <w:rsid w:val="00D70550"/>
    <w:rsid w:val="00D75448"/>
    <w:rsid w:val="00D80842"/>
    <w:rsid w:val="00D93895"/>
    <w:rsid w:val="00D95B73"/>
    <w:rsid w:val="00D97A02"/>
    <w:rsid w:val="00DC2B8E"/>
    <w:rsid w:val="00DC5A7B"/>
    <w:rsid w:val="00DD08BD"/>
    <w:rsid w:val="00DD29E3"/>
    <w:rsid w:val="00DD4DB2"/>
    <w:rsid w:val="00DE0EED"/>
    <w:rsid w:val="00DE4DE8"/>
    <w:rsid w:val="00DE4EC9"/>
    <w:rsid w:val="00DF08C4"/>
    <w:rsid w:val="00E52130"/>
    <w:rsid w:val="00E5360C"/>
    <w:rsid w:val="00E553BE"/>
    <w:rsid w:val="00E661CF"/>
    <w:rsid w:val="00E90A33"/>
    <w:rsid w:val="00EB5757"/>
    <w:rsid w:val="00EB5ADE"/>
    <w:rsid w:val="00EB60F0"/>
    <w:rsid w:val="00EC003D"/>
    <w:rsid w:val="00EC09CE"/>
    <w:rsid w:val="00ED35BE"/>
    <w:rsid w:val="00EE0E59"/>
    <w:rsid w:val="00EE2025"/>
    <w:rsid w:val="00EE36C0"/>
    <w:rsid w:val="00F00CE5"/>
    <w:rsid w:val="00F0299D"/>
    <w:rsid w:val="00F248B2"/>
    <w:rsid w:val="00F36F21"/>
    <w:rsid w:val="00F4416B"/>
    <w:rsid w:val="00F50ECC"/>
    <w:rsid w:val="00F52DBF"/>
    <w:rsid w:val="00F6320F"/>
    <w:rsid w:val="00F64D4A"/>
    <w:rsid w:val="00F97722"/>
    <w:rsid w:val="00FA2585"/>
    <w:rsid w:val="00FA44B8"/>
    <w:rsid w:val="00FC4F35"/>
    <w:rsid w:val="00FE4FE5"/>
    <w:rsid w:val="00FE75D7"/>
    <w:rsid w:val="00FF295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rsid w:val="00E5360C"/>
    <w:rPr>
      <w:sz w:val="18"/>
      <w:szCs w:val="18"/>
    </w:rPr>
  </w:style>
  <w:style w:type="paragraph" w:styleId="ab">
    <w:name w:val="annotation text"/>
    <w:basedOn w:val="a"/>
    <w:link w:val="Char"/>
    <w:rsid w:val="00E5360C"/>
  </w:style>
  <w:style w:type="character" w:customStyle="1" w:styleId="Char">
    <w:name w:val="메모 텍스트 Char"/>
    <w:basedOn w:val="a0"/>
    <w:link w:val="ab"/>
    <w:rsid w:val="00E5360C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E5360C"/>
    <w:rPr>
      <w:b/>
      <w:bCs/>
    </w:rPr>
  </w:style>
  <w:style w:type="character" w:customStyle="1" w:styleId="Char0">
    <w:name w:val="메모 주제 Char"/>
    <w:basedOn w:val="Char"/>
    <w:link w:val="ac"/>
    <w:rsid w:val="00E5360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95</cp:revision>
  <cp:lastPrinted>1900-01-01T10:24:08Z</cp:lastPrinted>
  <dcterms:created xsi:type="dcterms:W3CDTF">2022-11-14T06:48:00Z</dcterms:created>
  <dcterms:modified xsi:type="dcterms:W3CDTF">2023-01-17T18:19:00Z</dcterms:modified>
</cp:coreProperties>
</file>