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B156BB8" w:rsidR="00A353D7" w:rsidRPr="00CC2C3C" w:rsidRDefault="00CD1DAC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LB266 </w:t>
            </w:r>
            <w:r w:rsidR="00671D98">
              <w:rPr>
                <w:b w:val="0"/>
              </w:rPr>
              <w:t xml:space="preserve">CR for </w:t>
            </w:r>
            <w:r w:rsidR="00F95F77">
              <w:rPr>
                <w:b w:val="0"/>
              </w:rPr>
              <w:t>MISC CIDs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CA2A1F3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D5491">
              <w:rPr>
                <w:b w:val="0"/>
                <w:sz w:val="20"/>
              </w:rPr>
              <w:t>August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0258A4">
              <w:rPr>
                <w:b w:val="0"/>
                <w:sz w:val="20"/>
              </w:rPr>
              <w:t>8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Su</w:t>
            </w:r>
            <w:proofErr w:type="spellEnd"/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0B81A5E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A90E74">
        <w:rPr>
          <w:rFonts w:cs="Times New Roman"/>
          <w:sz w:val="18"/>
          <w:szCs w:val="18"/>
          <w:lang w:eastAsia="ko-KR"/>
        </w:rPr>
        <w:t>5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LB266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44B874F1" w:rsidR="00E83BB8" w:rsidRPr="00CE1ADE" w:rsidRDefault="00C6429F" w:rsidP="00C6429F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6429F">
        <w:rPr>
          <w:rFonts w:ascii="Times New Roman" w:hAnsi="Times New Roman" w:cs="Times New Roman"/>
          <w:sz w:val="18"/>
          <w:szCs w:val="18"/>
          <w:lang w:eastAsia="ko-KR"/>
        </w:rPr>
        <w:t>13744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6429F">
        <w:rPr>
          <w:rFonts w:ascii="Times New Roman" w:hAnsi="Times New Roman" w:cs="Times New Roman"/>
          <w:sz w:val="18"/>
          <w:szCs w:val="18"/>
          <w:lang w:eastAsia="ko-KR"/>
        </w:rPr>
        <w:t>10098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6429F">
        <w:rPr>
          <w:rFonts w:ascii="Times New Roman" w:hAnsi="Times New Roman" w:cs="Times New Roman"/>
          <w:sz w:val="18"/>
          <w:szCs w:val="18"/>
          <w:lang w:eastAsia="ko-KR"/>
        </w:rPr>
        <w:t>10941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6429F">
        <w:rPr>
          <w:rFonts w:ascii="Times New Roman" w:hAnsi="Times New Roman" w:cs="Times New Roman"/>
          <w:sz w:val="18"/>
          <w:szCs w:val="18"/>
          <w:lang w:eastAsia="ko-KR"/>
        </w:rPr>
        <w:t>12714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6429F">
        <w:rPr>
          <w:rFonts w:ascii="Times New Roman" w:hAnsi="Times New Roman" w:cs="Times New Roman"/>
          <w:sz w:val="18"/>
          <w:szCs w:val="18"/>
          <w:lang w:eastAsia="ko-KR"/>
        </w:rPr>
        <w:t>12715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418"/>
        <w:gridCol w:w="2644"/>
      </w:tblGrid>
      <w:tr w:rsidR="005C150E" w:rsidRPr="00E64581" w14:paraId="67A89138" w14:textId="77777777" w:rsidTr="006F7200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031F8E" w:rsidRPr="00E64581" w14:paraId="75D99299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7BB9F29B" w14:textId="6E7F4FFD" w:rsidR="00031F8E" w:rsidRPr="00E64581" w:rsidRDefault="00031F8E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13744</w:t>
            </w:r>
          </w:p>
        </w:tc>
        <w:tc>
          <w:tcPr>
            <w:tcW w:w="1039" w:type="dxa"/>
            <w:shd w:val="clear" w:color="auto" w:fill="auto"/>
          </w:tcPr>
          <w:p w14:paraId="279D2872" w14:textId="252C8597" w:rsidR="00031F8E" w:rsidRPr="00E64581" w:rsidRDefault="00031F8E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Yuchen Guo</w:t>
            </w:r>
          </w:p>
        </w:tc>
        <w:tc>
          <w:tcPr>
            <w:tcW w:w="709" w:type="dxa"/>
            <w:shd w:val="clear" w:color="auto" w:fill="auto"/>
          </w:tcPr>
          <w:p w14:paraId="11BECB7D" w14:textId="77777777" w:rsidR="00031F8E" w:rsidRDefault="00031F8E" w:rsidP="0003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244.28</w:t>
            </w:r>
          </w:p>
          <w:p w14:paraId="53257082" w14:textId="595D885F" w:rsidR="00031F8E" w:rsidRPr="00E64581" w:rsidRDefault="00031F8E" w:rsidP="00031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D9AEC0D" w14:textId="77777777" w:rsidR="00031F8E" w:rsidRDefault="00031F8E" w:rsidP="0003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35.2.1.3.2</w:t>
            </w:r>
          </w:p>
          <w:p w14:paraId="5E5A15EC" w14:textId="14855012" w:rsidR="00031F8E" w:rsidRPr="00E64581" w:rsidRDefault="00031F8E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0D3A0E0" w14:textId="77777777" w:rsidR="00031F8E" w:rsidRDefault="00031F8E" w:rsidP="0003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determine a frame is the last immediately response or the last frame? Moreover, the AP may transmit within the allocated time when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condition  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this bullet applies to the frames that are not the last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frames,e.g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 for error recovery.</w:t>
            </w:r>
          </w:p>
          <w:p w14:paraId="4107F1C0" w14:textId="155261F9" w:rsidR="00031F8E" w:rsidRPr="00E64581" w:rsidRDefault="00031F8E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D12D6F" w14:textId="77777777" w:rsidR="00031F8E" w:rsidRDefault="00031F8E" w:rsidP="0003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the two "last" in this bullet</w:t>
            </w:r>
          </w:p>
          <w:p w14:paraId="68D2259E" w14:textId="1B0476E8" w:rsidR="00031F8E" w:rsidRPr="00E64581" w:rsidRDefault="00031F8E" w:rsidP="00031F8E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6D7B105E" w14:textId="372C78E5" w:rsidR="00031F8E" w:rsidRDefault="00382889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ejected</w:t>
            </w:r>
            <w:r w:rsidR="00907A3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– </w:t>
            </w:r>
          </w:p>
          <w:p w14:paraId="28F288A4" w14:textId="77777777" w:rsidR="00907A3C" w:rsidRDefault="00907A3C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0FA1A8E" w14:textId="51C1EAB1" w:rsidR="00907A3C" w:rsidRPr="00E64581" w:rsidRDefault="00907A3C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commenter withdraws this comment.</w:t>
            </w:r>
          </w:p>
        </w:tc>
      </w:tr>
      <w:tr w:rsidR="008338C0" w:rsidRPr="00E64581" w14:paraId="6DE6B72E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2D6C9CC9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10098</w:t>
            </w:r>
          </w:p>
        </w:tc>
        <w:tc>
          <w:tcPr>
            <w:tcW w:w="1039" w:type="dxa"/>
            <w:shd w:val="clear" w:color="auto" w:fill="auto"/>
          </w:tcPr>
          <w:p w14:paraId="381ADDFB" w14:textId="3AC78CBB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Segev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9C2C650" w14:textId="5243D950" w:rsidR="008338C0" w:rsidRPr="00E64581" w:rsidRDefault="008338C0" w:rsidP="00833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404.50</w:t>
            </w:r>
          </w:p>
        </w:tc>
        <w:tc>
          <w:tcPr>
            <w:tcW w:w="851" w:type="dxa"/>
            <w:shd w:val="clear" w:color="auto" w:fill="auto"/>
          </w:tcPr>
          <w:p w14:paraId="403EECFD" w14:textId="7F5FBECB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1984" w:type="dxa"/>
            <w:shd w:val="clear" w:color="auto" w:fill="auto"/>
          </w:tcPr>
          <w:p w14:paraId="49167E8D" w14:textId="7EE9D7C5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FTM the device should be able to take advantage of MLD operation for FTM as well.</w:t>
            </w:r>
          </w:p>
        </w:tc>
        <w:tc>
          <w:tcPr>
            <w:tcW w:w="1418" w:type="dxa"/>
            <w:shd w:val="clear" w:color="auto" w:fill="auto"/>
          </w:tcPr>
          <w:p w14:paraId="7F01BC7D" w14:textId="66B8175B" w:rsidR="008338C0" w:rsidRPr="00E64581" w:rsidRDefault="008338C0" w:rsidP="008338C0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subcluse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similar to 35.3.21 (TDLS procedure in multi-link operation)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which is called FTM procedure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 link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operation where measurement to an MLD AP</w:t>
            </w:r>
            <w:r>
              <w:rPr>
                <w:rFonts w:ascii="Arial" w:hAnsi="Arial" w:cs="Arial"/>
                <w:sz w:val="20"/>
                <w:szCs w:val="20"/>
              </w:rPr>
              <w:br/>
              <w:t>from an MLD STA can take advantage of MLD operation.</w:t>
            </w:r>
          </w:p>
        </w:tc>
        <w:tc>
          <w:tcPr>
            <w:tcW w:w="2644" w:type="dxa"/>
            <w:shd w:val="clear" w:color="auto" w:fill="auto"/>
          </w:tcPr>
          <w:p w14:paraId="08CEDC8B" w14:textId="36D0CE2C" w:rsidR="008338C0" w:rsidRDefault="00907A3C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390FE68F" w14:textId="77777777" w:rsidR="00907A3C" w:rsidRDefault="00907A3C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0A8FC61" w14:textId="6757D475" w:rsidR="00907A3C" w:rsidRPr="00E64581" w:rsidRDefault="00760316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According to </w:t>
            </w:r>
            <w:r w:rsidRPr="00760316">
              <w:rPr>
                <w:rFonts w:ascii="Arial" w:hAnsi="Arial" w:cs="Arial"/>
                <w:sz w:val="20"/>
                <w:szCs w:val="20"/>
                <w:lang w:eastAsia="zh-CN"/>
              </w:rPr>
              <w:t>35.3.14 (Multi-link device individually addressed Management frame delivery), t</w:t>
            </w:r>
            <w:r w:rsidR="00907A3C">
              <w:rPr>
                <w:rFonts w:ascii="Arial" w:hAnsi="Arial" w:cs="Arial"/>
                <w:sz w:val="20"/>
                <w:szCs w:val="20"/>
                <w:lang w:eastAsia="zh-CN"/>
              </w:rPr>
              <w:t>he FTM procedure is performed at the link level. For MLD, different ST</w:t>
            </w:r>
            <w:bookmarkStart w:id="1" w:name="_GoBack"/>
            <w:bookmarkEnd w:id="1"/>
            <w:r w:rsidR="00907A3C">
              <w:rPr>
                <w:rFonts w:ascii="Arial" w:hAnsi="Arial" w:cs="Arial"/>
                <w:sz w:val="20"/>
                <w:szCs w:val="20"/>
                <w:lang w:eastAsia="zh-CN"/>
              </w:rPr>
              <w:t>As can perform the FTM procedures on different links independently to utilize the multi-link capability.</w:t>
            </w:r>
          </w:p>
        </w:tc>
      </w:tr>
      <w:tr w:rsidR="008338C0" w:rsidRPr="00E64581" w14:paraId="4D99B3A8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703CB0FC" w14:textId="146EC73D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10941</w:t>
            </w:r>
          </w:p>
        </w:tc>
        <w:tc>
          <w:tcPr>
            <w:tcW w:w="1039" w:type="dxa"/>
            <w:shd w:val="clear" w:color="auto" w:fill="auto"/>
          </w:tcPr>
          <w:p w14:paraId="635EAC68" w14:textId="78DE38D0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Smith</w:t>
            </w:r>
          </w:p>
        </w:tc>
        <w:tc>
          <w:tcPr>
            <w:tcW w:w="709" w:type="dxa"/>
            <w:shd w:val="clear" w:color="auto" w:fill="auto"/>
          </w:tcPr>
          <w:p w14:paraId="4208EB2C" w14:textId="0FF4B366" w:rsidR="008338C0" w:rsidRPr="00E64581" w:rsidRDefault="008338C0" w:rsidP="00833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</w:tcPr>
          <w:p w14:paraId="6B32C535" w14:textId="17276E81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1984" w:type="dxa"/>
            <w:shd w:val="clear" w:color="auto" w:fill="auto"/>
          </w:tcPr>
          <w:p w14:paraId="15C4745F" w14:textId="6C07A603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"Affiliated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  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just don't get it.  Is it associated, connected, interconnected, joined, capability, two distinct devices, one device that can perform MLO?  What is the relationship? In many places but I am looking in 35.3</w:t>
            </w:r>
          </w:p>
        </w:tc>
        <w:tc>
          <w:tcPr>
            <w:tcW w:w="1418" w:type="dxa"/>
            <w:shd w:val="clear" w:color="auto" w:fill="auto"/>
          </w:tcPr>
          <w:p w14:paraId="2CB12C91" w14:textId="3F64D8B9" w:rsidR="008338C0" w:rsidRPr="00E64581" w:rsidRDefault="008338C0" w:rsidP="008338C0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explain the relationship.   Why not just an AP MLD? What is an AP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affliated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an AP MLD?</w:t>
            </w:r>
          </w:p>
        </w:tc>
        <w:tc>
          <w:tcPr>
            <w:tcW w:w="2644" w:type="dxa"/>
            <w:shd w:val="clear" w:color="auto" w:fill="auto"/>
          </w:tcPr>
          <w:p w14:paraId="5CF98A45" w14:textId="77777777" w:rsidR="00CB0187" w:rsidRDefault="00CB0187" w:rsidP="00CB01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6C3A5C92" w14:textId="77777777" w:rsidR="00CB0187" w:rsidRDefault="00CB0187" w:rsidP="00CB01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407782A" w14:textId="7CA9899F" w:rsidR="008338C0" w:rsidRPr="00E64581" w:rsidRDefault="00CB0187" w:rsidP="00CB01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word “affiliated” is used throughout the whole draft. “An AP affiliated with an AP MLD” means the AP is a part of the AP MLD.</w:t>
            </w:r>
          </w:p>
        </w:tc>
      </w:tr>
      <w:tr w:rsidR="008338C0" w:rsidRPr="00E64581" w14:paraId="0ECC8873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3E2EBC8C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12714</w:t>
            </w:r>
          </w:p>
        </w:tc>
        <w:tc>
          <w:tcPr>
            <w:tcW w:w="1039" w:type="dxa"/>
            <w:shd w:val="clear" w:color="auto" w:fill="auto"/>
          </w:tcPr>
          <w:p w14:paraId="390BD58D" w14:textId="2204122A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 VIGER</w:t>
            </w:r>
          </w:p>
        </w:tc>
        <w:tc>
          <w:tcPr>
            <w:tcW w:w="709" w:type="dxa"/>
            <w:shd w:val="clear" w:color="auto" w:fill="auto"/>
          </w:tcPr>
          <w:p w14:paraId="160C56AB" w14:textId="57B36D4F" w:rsidR="008338C0" w:rsidRPr="00E64581" w:rsidRDefault="008338C0" w:rsidP="00833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404.50</w:t>
            </w:r>
          </w:p>
        </w:tc>
        <w:tc>
          <w:tcPr>
            <w:tcW w:w="851" w:type="dxa"/>
            <w:shd w:val="clear" w:color="auto" w:fill="auto"/>
          </w:tcPr>
          <w:p w14:paraId="7265ACCB" w14:textId="15964492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1984" w:type="dxa"/>
            <w:shd w:val="clear" w:color="auto" w:fill="auto"/>
          </w:tcPr>
          <w:p w14:paraId="41A2DD4F" w14:textId="3CC20CD8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Similar to 26.5.5 Buffer status report operation for HE STAs, there is a need of dedicated section for BSR operation for EHT STAs: this will support to report dynamically their needs according to Links</w:t>
            </w:r>
          </w:p>
        </w:tc>
        <w:tc>
          <w:tcPr>
            <w:tcW w:w="1418" w:type="dxa"/>
            <w:shd w:val="clear" w:color="auto" w:fill="auto"/>
          </w:tcPr>
          <w:p w14:paraId="2010F964" w14:textId="5F076B41" w:rsidR="008338C0" w:rsidRPr="00E64581" w:rsidRDefault="008338C0" w:rsidP="008338C0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 Buffer status report operation for EHT MLDs that indicate intended Link(s)</w:t>
            </w:r>
          </w:p>
        </w:tc>
        <w:tc>
          <w:tcPr>
            <w:tcW w:w="2644" w:type="dxa"/>
            <w:shd w:val="clear" w:color="auto" w:fill="auto"/>
          </w:tcPr>
          <w:p w14:paraId="3BEB2681" w14:textId="77777777" w:rsidR="00C571E2" w:rsidRDefault="00C571E2" w:rsidP="00C571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47310565" w14:textId="77777777" w:rsidR="00C571E2" w:rsidRDefault="00C571E2" w:rsidP="00C571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63C3510" w14:textId="630F32C0" w:rsidR="008338C0" w:rsidRPr="00E64581" w:rsidRDefault="009B7A39" w:rsidP="009B7A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BSR is MLD level, and t</w:t>
            </w:r>
            <w:r w:rsidR="00C571E2">
              <w:rPr>
                <w:rFonts w:ascii="Arial" w:hAnsi="Arial" w:cs="Arial"/>
                <w:sz w:val="20"/>
                <w:szCs w:val="20"/>
                <w:lang w:eastAsia="zh-CN"/>
              </w:rPr>
              <w:t>he group has discussed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extending it to link level as in contribution 11/2</w:t>
            </w:r>
            <w:r w:rsidR="006A10DB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  <w:r w:rsidR="006A10DB">
              <w:rPr>
                <w:rFonts w:ascii="Arial" w:hAnsi="Arial" w:cs="Arial"/>
                <w:sz w:val="20"/>
                <w:szCs w:val="20"/>
                <w:lang w:eastAsia="zh-CN"/>
              </w:rPr>
              <w:t>1808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r</w:t>
            </w:r>
            <w:r w:rsidR="006A10DB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but no consensus can be made.</w:t>
            </w:r>
          </w:p>
        </w:tc>
      </w:tr>
      <w:tr w:rsidR="008338C0" w:rsidRPr="00E64581" w14:paraId="530A7721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65D50EF9" w14:textId="11399DCB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12715</w:t>
            </w:r>
          </w:p>
        </w:tc>
        <w:tc>
          <w:tcPr>
            <w:tcW w:w="1039" w:type="dxa"/>
            <w:shd w:val="clear" w:color="auto" w:fill="auto"/>
          </w:tcPr>
          <w:p w14:paraId="39AC5367" w14:textId="6A6721A0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 VIGER</w:t>
            </w:r>
          </w:p>
        </w:tc>
        <w:tc>
          <w:tcPr>
            <w:tcW w:w="709" w:type="dxa"/>
            <w:shd w:val="clear" w:color="auto" w:fill="auto"/>
          </w:tcPr>
          <w:p w14:paraId="2308744E" w14:textId="19756364" w:rsidR="008338C0" w:rsidRPr="00E64581" w:rsidRDefault="008338C0" w:rsidP="00833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404.50</w:t>
            </w:r>
          </w:p>
        </w:tc>
        <w:tc>
          <w:tcPr>
            <w:tcW w:w="851" w:type="dxa"/>
            <w:shd w:val="clear" w:color="auto" w:fill="auto"/>
          </w:tcPr>
          <w:p w14:paraId="16629EAB" w14:textId="40D14DE9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1984" w:type="dxa"/>
            <w:shd w:val="clear" w:color="auto" w:fill="auto"/>
          </w:tcPr>
          <w:p w14:paraId="606DC0CA" w14:textId="7B737F79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Similar to 26.5.5 Buffer status report operation for HE STAs, there is a need of dedicated section for BSR operation for EHT STAs: this will support to report dynamically their Queue size  needs according to Links, but also delay constraints of pending BUs that are latency sensitive.</w:t>
            </w:r>
          </w:p>
        </w:tc>
        <w:tc>
          <w:tcPr>
            <w:tcW w:w="1418" w:type="dxa"/>
            <w:shd w:val="clear" w:color="auto" w:fill="auto"/>
          </w:tcPr>
          <w:p w14:paraId="6D89E7D6" w14:textId="3AAA9553" w:rsidR="008338C0" w:rsidRPr="00E64581" w:rsidRDefault="008338C0" w:rsidP="008338C0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 Buffer status report operation for EHT MLDs and Latency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traffics</w:t>
            </w:r>
          </w:p>
        </w:tc>
        <w:tc>
          <w:tcPr>
            <w:tcW w:w="2644" w:type="dxa"/>
            <w:shd w:val="clear" w:color="auto" w:fill="auto"/>
          </w:tcPr>
          <w:p w14:paraId="0F95AC4D" w14:textId="77777777" w:rsidR="00BC0E1A" w:rsidRDefault="00BC0E1A" w:rsidP="00BC0E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7BFFAFC8" w14:textId="77777777" w:rsidR="00BC0E1A" w:rsidRDefault="00BC0E1A" w:rsidP="00BC0E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E8FF081" w14:textId="2203F0D2" w:rsidR="008338C0" w:rsidRPr="00E64581" w:rsidRDefault="00BC0E1A" w:rsidP="00BC0E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he </w:t>
            </w:r>
            <w:r w:rsidR="00791F64" w:rsidRPr="00791F64">
              <w:rPr>
                <w:rFonts w:ascii="Arial" w:hAnsi="Arial" w:cs="Arial"/>
                <w:sz w:val="20"/>
                <w:szCs w:val="20"/>
                <w:lang w:eastAsia="zh-CN"/>
              </w:rPr>
              <w:t>Delay Status Report (DSR)</w:t>
            </w:r>
            <w:r w:rsidR="00791F6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791F64">
              <w:rPr>
                <w:rFonts w:ascii="Arial" w:hAnsi="Arial" w:cs="Arial" w:hint="eastAsia"/>
                <w:sz w:val="20"/>
                <w:szCs w:val="20"/>
                <w:lang w:eastAsia="zh-CN"/>
              </w:rPr>
              <w:t>has</w:t>
            </w:r>
            <w:r w:rsidR="00791F6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791F64">
              <w:rPr>
                <w:rFonts w:ascii="Arial" w:hAnsi="Arial" w:cs="Arial" w:hint="eastAsia"/>
                <w:sz w:val="20"/>
                <w:szCs w:val="20"/>
                <w:lang w:eastAsia="zh-CN"/>
              </w:rPr>
              <w:t>been</w:t>
            </w:r>
            <w:r w:rsidR="00791F6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discussed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 contribution 11/2</w:t>
            </w:r>
            <w:r w:rsidR="00791F64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-1</w:t>
            </w:r>
            <w:r w:rsidR="00791F64">
              <w:rPr>
                <w:rFonts w:ascii="Arial" w:hAnsi="Arial" w:cs="Arial"/>
                <w:sz w:val="20"/>
                <w:szCs w:val="20"/>
                <w:lang w:eastAsia="zh-CN"/>
              </w:rPr>
              <w:t>454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r</w:t>
            </w:r>
            <w:r w:rsidR="00791F64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but no consensus can be made.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1E95108A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7A834E7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4ACEED97" w14:textId="059B3871" w:rsidR="00CD1772" w:rsidRPr="00923455" w:rsidRDefault="00CD1772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D1772" w:rsidRPr="00923455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49DF0" w14:textId="77777777" w:rsidR="00397C1B" w:rsidRDefault="00397C1B">
      <w:pPr>
        <w:spacing w:after="0" w:line="240" w:lineRule="auto"/>
      </w:pPr>
      <w:r>
        <w:separator/>
      </w:r>
    </w:p>
  </w:endnote>
  <w:endnote w:type="continuationSeparator" w:id="0">
    <w:p w14:paraId="660A1248" w14:textId="77777777" w:rsidR="00397C1B" w:rsidRDefault="00397C1B">
      <w:pPr>
        <w:spacing w:after="0" w:line="240" w:lineRule="auto"/>
      </w:pPr>
      <w:r>
        <w:continuationSeparator/>
      </w:r>
    </w:p>
  </w:endnote>
  <w:endnote w:type="continuationNotice" w:id="1">
    <w:p w14:paraId="743DF27D" w14:textId="77777777" w:rsidR="00397C1B" w:rsidRDefault="00397C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39401" w14:textId="77777777" w:rsidR="00397C1B" w:rsidRDefault="00397C1B">
      <w:pPr>
        <w:spacing w:after="0" w:line="240" w:lineRule="auto"/>
      </w:pPr>
      <w:r>
        <w:separator/>
      </w:r>
    </w:p>
  </w:footnote>
  <w:footnote w:type="continuationSeparator" w:id="0">
    <w:p w14:paraId="053E0FFA" w14:textId="77777777" w:rsidR="00397C1B" w:rsidRDefault="00397C1B">
      <w:pPr>
        <w:spacing w:after="0" w:line="240" w:lineRule="auto"/>
      </w:pPr>
      <w:r>
        <w:continuationSeparator/>
      </w:r>
    </w:p>
  </w:footnote>
  <w:footnote w:type="continuationNotice" w:id="1">
    <w:p w14:paraId="11009FC3" w14:textId="77777777" w:rsidR="00397C1B" w:rsidRDefault="00397C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6F02CF7" w:rsidR="00F654D3" w:rsidRPr="00DE6B44" w:rsidRDefault="00F654D3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AC438B">
      <w:rPr>
        <w:rFonts w:ascii="Times New Roman" w:eastAsia="Malgun Gothic" w:hAnsi="Times New Roman" w:cs="Times New Roman"/>
        <w:b/>
        <w:sz w:val="28"/>
        <w:szCs w:val="20"/>
        <w:lang w:val="en-GB"/>
      </w:rPr>
      <w:t>148</w:t>
    </w:r>
    <w:r w:rsidR="00F95F77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C778667-1803-4AA2-BA5D-ED5785B5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3978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13</cp:revision>
  <dcterms:created xsi:type="dcterms:W3CDTF">2022-09-06T07:04:00Z</dcterms:created>
  <dcterms:modified xsi:type="dcterms:W3CDTF">2023-01-10T01:46:00Z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(3)o/xlBBqHwh/Zr0VaAwUk1RywUOVJBI0oR7LEnc+nydo1FycA7s3ojuwueNAXw3awa91N73j4
s88gwR1HF/S3EYQ0LYhr7GseNRaXQsZ/rAAnfHHyy9fAd9k64LRF5nalt7Nxu8Aa9OAZB5Xf
/3G9wjnaXQ8zVf0HCuX3V9fsUtN3NHWRm62OWYKo3CFOnsviw3HPvEvT1VLJ8pkxmP1LSN0U
ObKCXlB3VhwHz0Wgy2</vt:lpwstr>
  </property>
  <property fmtid="{D5CDD505-2E9C-101B-9397-08002B2CF9AE}" pid="6" name="_2015_ms_pID_7253431">
    <vt:lpwstr>fFJiE7+/YsjYdpo1KFMmXFJjb1EtGN4otvf0a9yneAVvapN1dY7E5i
r+HuQYLD9xE5DC+qdD8yLIpDNEEdCMLSceqF9RfWqQMA7sQj4bato4U/VpqFSRG2uQO/zGQB
k3o15NW4cm6lQKtIsmImSAVCuvRuYO0xP9U5GVTX3JSGd+X9/ucviJ7ilPDfPAtjP7YNDBAk
c9bwvKJf7tp0cQal5g3pBmLeJnjkQqOdahJy</vt:lpwstr>
  </property>
  <property fmtid="{D5CDD505-2E9C-101B-9397-08002B2CF9AE}" pid="7" name="_2015_ms_pID_7253432">
    <vt:lpwstr>7BgRV3pwRAsE8tiFQm+OUoI=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1673230145</vt:lpwstr>
  </property>
</Properties>
</file>