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1544"/>
        <w:gridCol w:w="1963"/>
        <w:gridCol w:w="2336"/>
        <w:gridCol w:w="810"/>
        <w:gridCol w:w="2932"/>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1 September 2022</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2022-09-0</w:t>
            </w:r>
            <w:r>
              <w:rPr>
                <w:b w:val="false"/>
                <w:sz w:val="20"/>
              </w:rPr>
              <w:t>5</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9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Comcast</w:t>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9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55665" cy="2856865"/>
                <wp:effectExtent l="0" t="0" r="0" b="0"/>
                <wp:wrapTopAndBottom/>
                <wp:docPr id="1" name="Ram1"/>
                <a:graphic xmlns:a="http://schemas.openxmlformats.org/drawingml/2006/main">
                  <a:graphicData uri="http://schemas.microsoft.com/office/word/2010/wordprocessingShape">
                    <wps:wsp>
                      <wps:cNvSpPr/>
                      <wps:spPr>
                        <a:xfrm>
                          <a:off x="0" y="0"/>
                          <a:ext cx="5955840" cy="28569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1 September 2022 at 10:00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5pt;margin-top:16.55pt;width:468.9pt;height:224.9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1 September 2022 at 10:00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Comcast</w:t>
      </w:r>
    </w:p>
    <w:p>
      <w:pPr>
        <w:pStyle w:val="Normal"/>
        <w:rPr>
          <w:b/>
          <w:b/>
          <w:szCs w:val="22"/>
        </w:rPr>
      </w:pPr>
      <w:r>
        <w:rPr>
          <w:b/>
          <w:szCs w:val="22"/>
        </w:rPr>
        <w:t>Vice-chairs: Jerome Henry,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10:02 ET.</w:t>
      </w:r>
    </w:p>
    <w:p>
      <w:pPr>
        <w:pStyle w:val="Normal"/>
        <w:rPr>
          <w:b/>
          <w:b/>
          <w:bCs/>
          <w:szCs w:val="22"/>
        </w:rPr>
      </w:pPr>
      <w:r>
        <w:rPr>
          <w:b/>
          <w:bCs/>
          <w:szCs w:val="22"/>
        </w:rPr>
      </w:r>
    </w:p>
    <w:p>
      <w:pPr>
        <w:pStyle w:val="Normal"/>
        <w:rPr/>
      </w:pPr>
      <w:r>
        <w:rPr>
          <w:szCs w:val="22"/>
        </w:rPr>
        <w:t xml:space="preserve">Agenda slide deck: </w:t>
      </w:r>
      <w:r>
        <w:rPr/>
        <w:t>11-22-1322r5:</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numPr>
          <w:ilvl w:val="1"/>
          <w:numId w:val="2"/>
        </w:numPr>
        <w:rPr/>
      </w:pPr>
      <w:r>
        <w:rPr/>
        <w:t>IEEE individual process slides were presented.</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11-22-1322r3 (slide #16)</w:t>
      </w:r>
    </w:p>
    <w:p>
      <w:pPr>
        <w:pStyle w:val="Normal"/>
        <w:numPr>
          <w:ilvl w:val="1"/>
          <w:numId w:val="2"/>
        </w:numPr>
        <w:rPr/>
      </w:pPr>
      <w:r>
        <w:rPr/>
        <w:t>Adoption of agenda 11-22-1322r5 slide #16 by unanimous consent (26 participants).</w:t>
        <w:br/>
      </w:r>
    </w:p>
    <w:p>
      <w:pPr>
        <w:pStyle w:val="Normal"/>
        <w:numPr>
          <w:ilvl w:val="0"/>
          <w:numId w:val="2"/>
        </w:numPr>
        <w:rPr>
          <w:b/>
          <w:b/>
          <w:bCs/>
        </w:rPr>
      </w:pPr>
      <w:r>
        <w:rPr>
          <w:b/>
          <w:bCs/>
        </w:rPr>
        <w:t>Administrative</w:t>
        <w:br/>
      </w:r>
    </w:p>
    <w:p>
      <w:pPr>
        <w:pStyle w:val="Normal"/>
        <w:numPr>
          <w:ilvl w:val="1"/>
          <w:numId w:val="2"/>
        </w:numPr>
        <w:rPr/>
      </w:pPr>
      <w:r>
        <w:rPr>
          <w:shd w:fill="auto" w:val="clear"/>
        </w:rPr>
        <w:t xml:space="preserve">Four slots planned for the September 2022 interim meeting. </w:t>
      </w:r>
    </w:p>
    <w:p>
      <w:pPr>
        <w:pStyle w:val="Normal"/>
        <w:rPr/>
      </w:pPr>
      <w:r>
        <w:rPr/>
      </w:r>
    </w:p>
    <w:p>
      <w:pPr>
        <w:pStyle w:val="Normal"/>
        <w:numPr>
          <w:ilvl w:val="0"/>
          <w:numId w:val="2"/>
        </w:numPr>
        <w:rPr>
          <w:b/>
          <w:b/>
          <w:bCs/>
        </w:rPr>
      </w:pPr>
      <w:r>
        <w:rPr>
          <w:rFonts w:eastAsia="MS Mincho;ＭＳ 明朝" w:cs="Times New Roman"/>
          <w:b/>
          <w:bCs/>
          <w:color w:val="auto"/>
          <w:kern w:val="0"/>
          <w:sz w:val="22"/>
          <w:szCs w:val="20"/>
          <w:lang w:val="en-US" w:eastAsia="zh-CN" w:bidi="ar-SA"/>
        </w:rPr>
        <w:t>Presentations</w:t>
      </w:r>
      <w:r>
        <w:rPr>
          <w:rFonts w:eastAsia="MS Mincho;ＭＳ 明朝" w:cs="Times New Roman"/>
          <w:b w:val="false"/>
          <w:bCs w:val="false"/>
          <w:color w:val="auto"/>
          <w:kern w:val="0"/>
          <w:sz w:val="22"/>
          <w:szCs w:val="20"/>
          <w:lang w:val="en-US" w:eastAsia="zh-CN" w:bidi="ar-SA"/>
        </w:rPr>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b/>
          <w:bCs/>
        </w:rPr>
        <w:t>Hashed SSID, 11-22-1383r0, Duncan Ho (Qualcomm)</w:t>
        <w:br/>
        <w:br/>
      </w:r>
      <w:r>
        <w:rPr>
          <w:b w:val="false"/>
          <w:bCs w:val="false"/>
        </w:rPr>
        <w:t xml:space="preserve">This is a continuation of discussions under para. 7.2 as captured in 11-22-1444r0. </w:t>
        <w:br/>
        <w:br/>
      </w:r>
      <w:r>
        <w:rPr>
          <w:b/>
          <w:bCs/>
        </w:rPr>
        <w:t>Discussion:</w:t>
        <w:br/>
        <w:br/>
        <w:t>C</w:t>
      </w:r>
      <w:r>
        <w:rPr>
          <w:b w:val="false"/>
          <w:bCs w:val="false"/>
        </w:rPr>
        <w:t>: I want to emphasize that hashing the SSID is not enough to provide a robust protection.</w:t>
        <w:br/>
      </w:r>
      <w:r>
        <w:rPr>
          <w:b/>
          <w:bCs/>
        </w:rPr>
        <w:t>A:</w:t>
      </w:r>
      <w:r>
        <w:rPr>
          <w:b w:val="false"/>
          <w:bCs w:val="false"/>
        </w:rPr>
        <w:t xml:space="preserve"> With the solution that was presented, the assumption was that there would be no hardware changes. It was just to demonstrate the feasibility of requirement 15 in the absence of hardware changes, but whether we seek not to have hardware changes is a separate question.</w:t>
        <w:br/>
      </w:r>
      <w:r>
        <w:rPr>
          <w:b/>
          <w:bCs/>
        </w:rPr>
        <w:t>C:</w:t>
      </w:r>
      <w:r>
        <w:rPr>
          <w:b w:val="false"/>
          <w:bCs w:val="false"/>
        </w:rPr>
        <w:t xml:space="preserve"> I would be more comfortable if we removed the word "easily" from "easily identifiable" in the last sentence of requirement 15.</w:t>
        <w:br/>
      </w:r>
      <w:r>
        <w:rPr>
          <w:b/>
          <w:bCs/>
        </w:rPr>
        <w:t>C:</w:t>
      </w:r>
      <w:r>
        <w:rPr>
          <w:b w:val="false"/>
          <w:bCs w:val="false"/>
        </w:rPr>
        <w:t xml:space="preserve"> I don't see the issue with the word "easily". We're not making it water-tight in either case, and maybe without this word it will be a bit too stringent.</w:t>
        <w:br/>
      </w:r>
      <w:r>
        <w:rPr>
          <w:b/>
          <w:bCs/>
        </w:rPr>
        <w:t>C:</w:t>
      </w:r>
      <w:r>
        <w:rPr>
          <w:b w:val="false"/>
          <w:bCs w:val="false"/>
        </w:rPr>
        <w:t xml:space="preserve"> We're introducing new AP operation modes to the market here, which are not legacy compatible. If we want to lower the bar on creating these new, non-backwards compatible BSS's so that we end up with non-future proof and easy-to-break systems, we'll just end up with early-day Wi-Fi encryption: difficult to use, and still bad. We should have a model that is future-proof and that we can build on. We don't want to have constant updates on the BSS model, so I'm in favour of getting rid of the word "easily" in requirement 15 and just get this over with.</w:t>
        <w:br/>
      </w:r>
      <w:r>
        <w:rPr>
          <w:b/>
          <w:bCs/>
        </w:rPr>
        <w:t>Q:</w:t>
      </w:r>
      <w:r>
        <w:rPr>
          <w:b w:val="false"/>
          <w:bCs w:val="false"/>
        </w:rPr>
        <w:t xml:space="preserve"> Are we doing privacy or security? I don't think these issues should be conflated. </w:t>
        <w:br/>
      </w:r>
      <w:r>
        <w:rPr>
          <w:b/>
          <w:bCs/>
        </w:rPr>
        <w:t>C:</w:t>
      </w:r>
      <w:r>
        <w:rPr>
          <w:b w:val="false"/>
          <w:bCs w:val="false"/>
        </w:rPr>
        <w:t xml:space="preserve"> Privacy in some cases, especially when we touch on identification and authentication issues, does have an overlap with security. </w:t>
        <w:br/>
      </w:r>
      <w:r>
        <w:rPr>
          <w:b/>
          <w:bCs/>
        </w:rPr>
        <w:t>Chair:</w:t>
      </w:r>
      <w:r>
        <w:rPr>
          <w:b w:val="false"/>
          <w:bCs w:val="false"/>
        </w:rPr>
        <w:t xml:space="preserve"> It does not seem like we can strawpoll requirement 15 at this time. I suggest we postpone further discussion on this requirement until later.</w:t>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b/>
          <w:bCs/>
        </w:rPr>
        <w:t>Mobile AP, 11-22-1382r0, Duncan Ho (Qualcomm)</w:t>
        <w:br/>
        <w:br/>
      </w:r>
      <w:r>
        <w:rPr>
          <w:b w:val="false"/>
          <w:bCs w:val="false"/>
        </w:rPr>
        <w:t>The presentation covers the definition of a "mobile AP", requesting the "BPE" (BSS Privacy Enhanced) to be restricted to such AP.</w:t>
        <w:br/>
        <w:br/>
      </w:r>
      <w:r>
        <w:rPr>
          <w:b/>
          <w:bCs/>
        </w:rPr>
        <w:t>Discussion:</w:t>
      </w:r>
      <w:r>
        <w:rPr>
          <w:b w:val="false"/>
          <w:bCs w:val="false"/>
        </w:rPr>
        <w:br/>
        <w:br/>
      </w:r>
      <w:r>
        <w:rPr>
          <w:b/>
          <w:bCs/>
        </w:rPr>
        <w:t>C:</w:t>
      </w:r>
      <w:r>
        <w:rPr>
          <w:b w:val="false"/>
          <w:bCs w:val="false"/>
        </w:rPr>
        <w:t xml:space="preserve"> I disagree that BPE enhancements would only be applicable to mobile APs. Employee networks, public safety networks and other networks that do not want to be discovered by big audiences may contain static APs. I think BPE functionality would be of benefit to these networks too.</w:t>
        <w:br/>
      </w:r>
      <w:r>
        <w:rPr>
          <w:b/>
          <w:bCs/>
        </w:rPr>
        <w:t>C:</w:t>
      </w:r>
      <w:r>
        <w:rPr>
          <w:b w:val="false"/>
          <w:bCs w:val="false"/>
        </w:rPr>
        <w:t xml:space="preserve"> Our current names are descriptive: CPE is the privacy of the client, BPE is the privacy of the BSS, namely the AP and the non-AP STA both. That means, for the BPE case, that both the AP and the non-AP STA benefit from the features we seek to bring. At least to me that suggests we shouldn't change this terminology at this time.</w:t>
        <w:br/>
      </w:r>
      <w:r>
        <w:rPr>
          <w:b/>
          <w:bCs/>
        </w:rPr>
        <w:t>C:</w:t>
      </w:r>
      <w:r>
        <w:rPr>
          <w:b w:val="false"/>
          <w:bCs w:val="false"/>
        </w:rPr>
        <w:t xml:space="preserve"> My interpretation here is that we're trying to figure out, for the spec text phase, where BPE text goes in the draft.</w:t>
        <w:br/>
      </w:r>
      <w:r>
        <w:rPr>
          <w:b/>
          <w:bCs/>
        </w:rPr>
        <w:t>C:</w:t>
      </w:r>
      <w:r>
        <w:rPr>
          <w:b w:val="false"/>
          <w:bCs w:val="false"/>
        </w:rPr>
        <w:t xml:space="preserve"> In this presentation, I'm not comfortable with implementation-specific information like whether something is battery-powered, or has 12V or some other electricity source. </w:t>
        <w:br/>
      </w:r>
      <w:r>
        <w:rPr>
          <w:b/>
          <w:bCs/>
        </w:rPr>
        <w:t>A:</w:t>
      </w:r>
      <w:r>
        <w:rPr>
          <w:b w:val="false"/>
          <w:bCs w:val="false"/>
        </w:rPr>
        <w:t xml:space="preserve"> Just to clarify that this note is not meant for the spec, just for this presentation.</w:t>
        <w:br/>
      </w:r>
      <w:r>
        <w:rPr>
          <w:b/>
          <w:bCs/>
        </w:rPr>
        <w:t>Q:</w:t>
      </w:r>
      <w:r>
        <w:rPr>
          <w:b w:val="false"/>
          <w:bCs w:val="false"/>
        </w:rPr>
        <w:t xml:space="preserve"> I'm not sure we need two separate classes of APs? All APs can operate while mobile so that's a capability all APs have. Mobility should not be part of the definition. What sort of requirements necessitate these distinct AP classes? </w:t>
        <w:br/>
      </w:r>
      <w:r>
        <w:rPr>
          <w:b/>
          <w:bCs/>
        </w:rPr>
        <w:t>C:</w:t>
      </w:r>
      <w:r>
        <w:rPr>
          <w:b w:val="false"/>
          <w:bCs w:val="false"/>
        </w:rPr>
        <w:t xml:space="preserve"> I agree that we don't need this distinction. We could define features and applications rather than the devices, or focus on the market place that we want to build devices for. Focus on the features we're trying to define, it's also something we've learned the hard way in TGmc and TGmd, where definitional topics took up a lot of time.</w:t>
        <w:br/>
      </w:r>
      <w:r>
        <w:rPr>
          <w:b/>
          <w:bCs/>
        </w:rPr>
        <w:t>Chair:</w:t>
      </w:r>
      <w:r>
        <w:rPr>
          <w:b w:val="false"/>
          <w:bCs w:val="false"/>
        </w:rPr>
        <w:t xml:space="preserve"> If there are additional comments, pass them in e-mail to the presenter. </w:t>
      </w:r>
      <w:r>
        <w:rPr/>
        <w:br/>
      </w:r>
    </w:p>
    <w:p>
      <w:pPr>
        <w:pStyle w:val="Normal"/>
        <w:numPr>
          <w:ilvl w:val="0"/>
          <w:numId w:val="2"/>
        </w:numPr>
        <w:rPr>
          <w:b/>
          <w:b/>
          <w:bCs/>
        </w:rPr>
      </w:pPr>
      <w:r>
        <w:rPr>
          <w:b/>
          <w:bCs/>
        </w:rPr>
        <w:t>AoB</w:t>
      </w:r>
    </w:p>
    <w:p>
      <w:pPr>
        <w:pStyle w:val="Normal"/>
        <w:numPr>
          <w:ilvl w:val="1"/>
          <w:numId w:val="2"/>
        </w:numPr>
        <w:rPr/>
      </w:pPr>
      <w:r>
        <w:rPr>
          <w:rFonts w:eastAsia="MS Mincho;ＭＳ 明朝" w:cs="Times New Roman"/>
          <w:color w:val="auto"/>
          <w:kern w:val="0"/>
          <w:sz w:val="22"/>
          <w:szCs w:val="20"/>
          <w:lang w:val="en-US" w:eastAsia="zh-CN" w:bidi="ar-SA"/>
        </w:rPr>
        <w:t>Chair reminds everyone that there is no teleconference on 8 September.</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rPr/>
      </w:pPr>
      <w:r>
        <w:rPr/>
      </w:r>
    </w:p>
    <w:p>
      <w:pPr>
        <w:pStyle w:val="Normal"/>
        <w:numPr>
          <w:ilvl w:val="0"/>
          <w:numId w:val="2"/>
        </w:numPr>
        <w:rPr/>
      </w:pPr>
      <w:r>
        <w:rPr/>
        <w:t>Chair adjourned the meeting at 10:02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p>
      <w:pPr>
        <w:pStyle w:val="Normal"/>
        <w:rPr>
          <w:b/>
          <w:b/>
          <w:bCs/>
          <w:sz w:val="24"/>
          <w:szCs w:val="22"/>
          <w:u w:val="single"/>
        </w:rPr>
      </w:pPr>
      <w:r>
        <w:rPr>
          <w:b/>
          <w:bCs/>
          <w:sz w:val="24"/>
          <w:szCs w:val="22"/>
          <w:u w:val="single"/>
        </w:rPr>
      </w:r>
    </w:p>
    <w:tbl>
      <w:tblPr>
        <w:tblW w:w="9240" w:type="dxa"/>
        <w:jc w:val="left"/>
        <w:tblInd w:w="0" w:type="dxa"/>
        <w:tblLayout w:type="fixed"/>
        <w:tblCellMar>
          <w:top w:w="0" w:type="dxa"/>
          <w:left w:w="0" w:type="dxa"/>
          <w:bottom w:w="0" w:type="dxa"/>
          <w:right w:w="0" w:type="dxa"/>
        </w:tblCellMar>
      </w:tblPr>
      <w:tblGrid>
        <w:gridCol w:w="3431"/>
        <w:gridCol w:w="5808"/>
      </w:tblGrid>
      <w:tr>
        <w:trPr>
          <w:trHeight w:val="300" w:hRule="atLeast"/>
        </w:trPr>
        <w:tc>
          <w:tcPr>
            <w:tcW w:w="3431" w:type="dxa"/>
            <w:tcBorders/>
            <w:vAlign w:val="center"/>
          </w:tcPr>
          <w:p>
            <w:pPr>
              <w:pStyle w:val="Tabellinnehll"/>
              <w:widowControl w:val="false"/>
              <w:rPr>
                <w:rFonts w:ascii="Calibri;sans-serif" w:hAnsi="Calibri;sans-serif"/>
                <w:b/>
                <w:b/>
                <w:bCs/>
                <w:i w:val="false"/>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5808" w:type="dxa"/>
            <w:tcBorders/>
            <w:vAlign w:val="center"/>
          </w:tcPr>
          <w:p>
            <w:pPr>
              <w:pStyle w:val="Tabellinnehll"/>
              <w:widowControl w:val="false"/>
              <w:rPr>
                <w:rFonts w:ascii="Calibri;sans-serif" w:hAnsi="Calibri;sans-serif"/>
                <w:b/>
                <w:b/>
                <w:bCs/>
                <w:i w:val="false"/>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Comcast</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Das, Subir</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Peraton Labs</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Hernandez, Marco</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National Institute of Information and Communications Technology (NICT)</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Kain, Carl</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USDOT; Noblis, Inc</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Levy, Joseph</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Mutgan, Okan</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Nokia</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Nezou, Patrice</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RISON, Mark</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Cambridge Solution Centre</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 Harvey</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Sevin, Julien</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Stacey, Robert</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Thakore, Darshak</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3431"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5808" w:type="dxa"/>
            <w:tcBorders/>
            <w:vAlign w:val="center"/>
          </w:tcPr>
          <w:p>
            <w:pPr>
              <w:pStyle w:val="Tabellinnehll"/>
              <w:widowControl w:val="false"/>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xml:space="preserve"> PAGE </w:instrText>
    </w:r>
    <w:r>
      <w:rPr/>
      <w:fldChar w:fldCharType="separate"/>
    </w:r>
    <w:r>
      <w:rPr/>
      <w:t>3</w:t>
    </w:r>
    <w:r>
      <w:rPr/>
      <w:fldChar w:fldCharType="end"/>
    </w:r>
    <w:r>
      <w:rPr/>
      <w:tab/>
      <w:t>Amelia Andersdotter,Comcast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clear" w:pos="6480"/>
        <w:tab w:val="center" w:pos="4680" w:leader="none"/>
        <w:tab w:val="right" w:pos="9360" w:leader="none"/>
        <w:tab w:val="right" w:pos="12960" w:leader="none"/>
      </w:tabs>
      <w:rPr/>
    </w:pPr>
    <w:r>
      <w:rPr/>
      <w:t>September 2022</w:t>
      <w:tab/>
      <w:tab/>
      <w:t>doc.: IEEE 802.11-22/14</w:t>
    </w:r>
    <w:r>
      <w:rPr/>
      <w:t>78</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17436</TotalTime>
  <Application>LibreOffice/7.3.5.2$Linux_X86_64 LibreOffice_project/30$Build-2</Application>
  <AppVersion>15.0000</AppVersion>
  <Pages>3</Pages>
  <Words>956</Words>
  <Characters>5049</Characters>
  <CharactersWithSpaces>5914</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2022-09-05T11:44:09Z</dcterms:modified>
  <cp:revision>81</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