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109"/>
        <w:gridCol w:w="2880"/>
        <w:gridCol w:w="1034"/>
        <w:gridCol w:w="2787"/>
      </w:tblGrid>
      <w:tr w:rsidR="00946C79" w14:paraId="73FE9419" w14:textId="77777777" w:rsidTr="00927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11CAFE06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660A98">
              <w:t>718</w:t>
            </w:r>
          </w:p>
        </w:tc>
      </w:tr>
      <w:tr w:rsidR="00946C79" w14:paraId="5E48BDB7" w14:textId="77777777" w:rsidTr="009273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48490256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376217">
              <w:rPr>
                <w:sz w:val="20"/>
              </w:rPr>
              <w:t>8</w:t>
            </w:r>
            <w:r>
              <w:rPr>
                <w:sz w:val="20"/>
              </w:rPr>
              <w:t>-</w:t>
            </w:r>
            <w:r w:rsidR="00376217">
              <w:rPr>
                <w:sz w:val="20"/>
              </w:rPr>
              <w:t>31</w:t>
            </w:r>
          </w:p>
        </w:tc>
      </w:tr>
      <w:tr w:rsidR="00946C79" w14:paraId="3510DCEE" w14:textId="77777777" w:rsidTr="009273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 w:rsidTr="0037621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09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34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 w:rsidTr="0037621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109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880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 w:rsidTr="0037621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109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880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  <w:tr w:rsidR="009273A7" w14:paraId="37A80382" w14:textId="77777777" w:rsidTr="00376217">
        <w:trPr>
          <w:jc w:val="center"/>
        </w:trPr>
        <w:tc>
          <w:tcPr>
            <w:tcW w:w="1766" w:type="dxa"/>
            <w:vAlign w:val="center"/>
          </w:tcPr>
          <w:p w14:paraId="360EC3F4" w14:textId="5A8C2C92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Mark Hamilton</w:t>
            </w:r>
          </w:p>
        </w:tc>
        <w:tc>
          <w:tcPr>
            <w:tcW w:w="1109" w:type="dxa"/>
            <w:vAlign w:val="center"/>
          </w:tcPr>
          <w:p w14:paraId="6F803052" w14:textId="1BD9E814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Ruckus/CommScope</w:t>
            </w:r>
          </w:p>
        </w:tc>
        <w:tc>
          <w:tcPr>
            <w:tcW w:w="2880" w:type="dxa"/>
            <w:vAlign w:val="center"/>
          </w:tcPr>
          <w:p w14:paraId="1B508D2A" w14:textId="1056A3D5" w:rsidR="009273A7" w:rsidRPr="009273A7" w:rsidRDefault="009273A7" w:rsidP="009273A7">
            <w:pPr>
              <w:pStyle w:val="T2"/>
              <w:spacing w:after="0"/>
              <w:rPr>
                <w:sz w:val="20"/>
              </w:rPr>
            </w:pPr>
            <w:r w:rsidRPr="009273A7">
              <w:rPr>
                <w:sz w:val="20"/>
              </w:rPr>
              <w:t xml:space="preserve">350 </w:t>
            </w:r>
            <w:proofErr w:type="gramStart"/>
            <w:r w:rsidRPr="009273A7">
              <w:rPr>
                <w:sz w:val="20"/>
              </w:rPr>
              <w:t xml:space="preserve">W </w:t>
            </w:r>
            <w:r>
              <w:rPr>
                <w:sz w:val="20"/>
              </w:rPr>
              <w:t xml:space="preserve"> </w:t>
            </w:r>
            <w:r w:rsidRPr="009273A7">
              <w:rPr>
                <w:sz w:val="20"/>
              </w:rPr>
              <w:t>Java</w:t>
            </w:r>
            <w:proofErr w:type="gramEnd"/>
            <w:r w:rsidRPr="009273A7">
              <w:rPr>
                <w:sz w:val="20"/>
              </w:rPr>
              <w:t xml:space="preserve"> </w:t>
            </w:r>
            <w:proofErr w:type="spellStart"/>
            <w:r w:rsidRPr="009273A7">
              <w:rPr>
                <w:sz w:val="20"/>
              </w:rPr>
              <w:t>Dr.</w:t>
            </w:r>
            <w:proofErr w:type="spellEnd"/>
          </w:p>
          <w:p w14:paraId="23CA9AF9" w14:textId="7C44551A" w:rsidR="009273A7" w:rsidRDefault="009273A7" w:rsidP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Sunnyvale, CA 94089</w:t>
            </w:r>
          </w:p>
        </w:tc>
        <w:tc>
          <w:tcPr>
            <w:tcW w:w="1034" w:type="dxa"/>
            <w:vAlign w:val="center"/>
          </w:tcPr>
          <w:p w14:paraId="2EA80C90" w14:textId="5409E5D4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+1-303-818-8472</w:t>
            </w:r>
          </w:p>
        </w:tc>
        <w:tc>
          <w:tcPr>
            <w:tcW w:w="2787" w:type="dxa"/>
            <w:vAlign w:val="center"/>
          </w:tcPr>
          <w:p w14:paraId="7FF6BC70" w14:textId="2D3ABF62" w:rsidR="009273A7" w:rsidRDefault="009273A7">
            <w:pPr>
              <w:pStyle w:val="T2"/>
              <w:spacing w:after="0"/>
              <w:ind w:left="0" w:right="0"/>
              <w:rPr>
                <w:sz w:val="16"/>
              </w:rPr>
            </w:pPr>
            <w:r w:rsidRPr="009273A7">
              <w:rPr>
                <w:sz w:val="16"/>
              </w:rPr>
              <w:t>mark.hamilton2152@gmail.com</w:t>
            </w:r>
          </w:p>
        </w:tc>
      </w:tr>
      <w:tr w:rsidR="009273A7" w14:paraId="0E5ACDCC" w14:textId="77777777" w:rsidTr="00376217">
        <w:trPr>
          <w:jc w:val="center"/>
        </w:trPr>
        <w:tc>
          <w:tcPr>
            <w:tcW w:w="1766" w:type="dxa"/>
            <w:vAlign w:val="center"/>
          </w:tcPr>
          <w:p w14:paraId="144E5189" w14:textId="06A12ABA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proofErr w:type="spellStart"/>
            <w:r w:rsidRPr="009273A7">
              <w:rPr>
                <w:sz w:val="20"/>
              </w:rPr>
              <w:t>Youhan</w:t>
            </w:r>
            <w:proofErr w:type="spellEnd"/>
            <w:r w:rsidRPr="009273A7">
              <w:rPr>
                <w:sz w:val="20"/>
              </w:rPr>
              <w:t xml:space="preserve"> Kim</w:t>
            </w:r>
          </w:p>
        </w:tc>
        <w:tc>
          <w:tcPr>
            <w:tcW w:w="1109" w:type="dxa"/>
            <w:vAlign w:val="center"/>
          </w:tcPr>
          <w:p w14:paraId="1B9A9E6F" w14:textId="40729CC2" w:rsidR="009273A7" w:rsidRP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Qualcomm</w:t>
            </w:r>
          </w:p>
        </w:tc>
        <w:tc>
          <w:tcPr>
            <w:tcW w:w="2880" w:type="dxa"/>
            <w:vAlign w:val="center"/>
          </w:tcPr>
          <w:p w14:paraId="15BCBB81" w14:textId="77777777" w:rsidR="009273A7" w:rsidRPr="009273A7" w:rsidRDefault="009273A7" w:rsidP="009273A7">
            <w:pPr>
              <w:pStyle w:val="T2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0471F9AA" w14:textId="77777777" w:rsidR="009273A7" w:rsidRP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2383B245" w14:textId="07625135" w:rsidR="009273A7" w:rsidRPr="009273A7" w:rsidRDefault="009273A7">
            <w:pPr>
              <w:pStyle w:val="T2"/>
              <w:spacing w:after="0"/>
              <w:ind w:left="0" w:right="0"/>
              <w:rPr>
                <w:sz w:val="16"/>
              </w:rPr>
            </w:pPr>
            <w:r w:rsidRPr="009273A7">
              <w:rPr>
                <w:sz w:val="16"/>
              </w:rPr>
              <w:t>youhank@qti.qualcomm.com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7FFA1D58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660A98">
                              <w:t>718</w:t>
                            </w:r>
                            <w:r w:rsidR="00AF4848">
                              <w:t>.</w:t>
                            </w:r>
                          </w:p>
                          <w:p w14:paraId="4AD573CD" w14:textId="6D329C0E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</w:t>
                            </w:r>
                            <w:r w:rsidR="00376217">
                              <w:t>3</w:t>
                            </w:r>
                            <w:r>
                              <w:t>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1E8EEE32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660A98">
                              <w:t>718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6C54BE4E" w14:textId="400BC096" w:rsidR="00092748" w:rsidRDefault="00092748">
                            <w:r>
                              <w:t>See also 11-22-0990-10-000m-lb258-misc-cids.docx for related RCPI comments.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23BD2389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560232">
                              <w:t>1</w:t>
                            </w:r>
                            <w:r w:rsidR="00660A98">
                              <w:t>718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660A98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7FFA1D58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660A98">
                        <w:t>718</w:t>
                      </w:r>
                      <w:r w:rsidR="00AF4848">
                        <w:t>.</w:t>
                      </w:r>
                    </w:p>
                    <w:p w14:paraId="4AD573CD" w14:textId="6D329C0E" w:rsidR="00755976" w:rsidRDefault="00755976">
                      <w:pPr>
                        <w:jc w:val="both"/>
                      </w:pPr>
                      <w:r>
                        <w:t>Proposed changes are based on P802.11REVme D1.</w:t>
                      </w:r>
                      <w:r w:rsidR="00376217">
                        <w:t>3</w:t>
                      </w:r>
                      <w:r>
                        <w:t>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1E8EEE32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660A98">
                        <w:t>718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6C54BE4E" w14:textId="400BC096" w:rsidR="00092748" w:rsidRDefault="00092748">
                      <w:r>
                        <w:t>See also 11-22-0990-10-000m-lb258-misc-cids.docx for related RCPI comments.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23BD2389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proofErr w:type="gramStart"/>
                      <w:r w:rsidR="00560232">
                        <w:t>1</w:t>
                      </w:r>
                      <w:r w:rsidR="00660A98">
                        <w:t>718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660A98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041"/>
        <w:gridCol w:w="5768"/>
        <w:gridCol w:w="1973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33F5B687" w:rsidR="002F07AC" w:rsidRDefault="002F07AC">
            <w:r>
              <w:t>1</w:t>
            </w:r>
            <w:r w:rsidR="00660A98">
              <w:t>718</w:t>
            </w:r>
          </w:p>
        </w:tc>
        <w:tc>
          <w:tcPr>
            <w:tcW w:w="999" w:type="dxa"/>
            <w:shd w:val="clear" w:color="auto" w:fill="auto"/>
          </w:tcPr>
          <w:p w14:paraId="57DDFBAA" w14:textId="5D89BF89" w:rsidR="002F07AC" w:rsidRDefault="00660A98">
            <w:r>
              <w:t>9.4.2.190</w:t>
            </w:r>
          </w:p>
        </w:tc>
        <w:tc>
          <w:tcPr>
            <w:tcW w:w="5803" w:type="dxa"/>
            <w:shd w:val="clear" w:color="auto" w:fill="auto"/>
          </w:tcPr>
          <w:p w14:paraId="3468283F" w14:textId="77777777" w:rsidR="00660A98" w:rsidRDefault="00660A98" w:rsidP="00660A9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In the S1G Open-Loop Link Margin Index element it is stated:</w:t>
            </w:r>
          </w:p>
          <w:p w14:paraId="1ADCD820" w14:textId="77777777" w:rsidR="00660A98" w:rsidRDefault="00660A98" w:rsidP="00660A9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"Then the SNR margin over the MCS 10 can</w:t>
            </w:r>
          </w:p>
          <w:p w14:paraId="255BF1EF" w14:textId="77777777" w:rsidR="00660A98" w:rsidRDefault="00660A98" w:rsidP="00660A9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be derived at the STA that receives the frame that contains S1G Open-Loop Link Margin Index based on its</w:t>
            </w:r>
          </w:p>
          <w:p w14:paraId="535D1B0A" w14:textId="77777777" w:rsidR="00660A98" w:rsidRDefault="00660A98" w:rsidP="00660A9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own transmit power Ptx2 and the received RSSI measured for the PPDU containing the S1G Open-Loop</w:t>
            </w:r>
          </w:p>
          <w:p w14:paraId="35E337D5" w14:textId="77777777" w:rsidR="00660A98" w:rsidRDefault="00660A98" w:rsidP="00660A9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Link Margin Index.</w:t>
            </w:r>
          </w:p>
          <w:p w14:paraId="68E1C11D" w14:textId="77777777" w:rsidR="00660A98" w:rsidRDefault="00660A98" w:rsidP="00660A9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proofErr w:type="spellStart"/>
            <w:r>
              <w:t>SNR_Margin</w:t>
            </w:r>
            <w:proofErr w:type="spellEnd"/>
            <w:r>
              <w:t xml:space="preserve"> = P_tx2 - </w:t>
            </w:r>
            <w:proofErr w:type="spellStart"/>
            <w:r>
              <w:t>delta_OPLM</w:t>
            </w:r>
            <w:proofErr w:type="spellEnd"/>
            <w:r>
              <w:t xml:space="preserve"> + RSSI</w:t>
            </w:r>
          </w:p>
          <w:p w14:paraId="37BA7477" w14:textId="77777777" w:rsidR="00660A98" w:rsidRDefault="00660A98" w:rsidP="00660A9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"</w:t>
            </w:r>
          </w:p>
          <w:p w14:paraId="6ED26DE6" w14:textId="0712C789" w:rsidR="002F07AC" w:rsidRDefault="00660A98" w:rsidP="00660A9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 xml:space="preserve">But there is no SAP that provides the RSSI (in any </w:t>
            </w:r>
            <w:proofErr w:type="gramStart"/>
            <w:r>
              <w:t>particular units</w:t>
            </w:r>
            <w:proofErr w:type="gramEnd"/>
            <w:r>
              <w:t>), so this cannot be derived by the MAC</w:t>
            </w:r>
          </w:p>
        </w:tc>
        <w:tc>
          <w:tcPr>
            <w:tcW w:w="1980" w:type="dxa"/>
            <w:shd w:val="clear" w:color="auto" w:fill="auto"/>
          </w:tcPr>
          <w:p w14:paraId="19CF0D17" w14:textId="20D2B998" w:rsidR="002F07AC" w:rsidRDefault="00660A98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660A98">
              <w:t>Delete the referenced subclause, and the row at 1049.11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2C4F12CD" w:rsidR="001D4DD2" w:rsidRDefault="001D4DD2" w:rsidP="001D4DD2">
      <w:pPr>
        <w:rPr>
          <w:b/>
          <w:sz w:val="24"/>
        </w:rPr>
      </w:pPr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CC566E">
        <w:rPr>
          <w:i/>
          <w:iCs/>
        </w:rPr>
        <w:t>9.4.2.190</w:t>
      </w:r>
    </w:p>
    <w:p w14:paraId="334AD0ED" w14:textId="77777777" w:rsidR="001D4DD2" w:rsidRDefault="001D4DD2">
      <w:pPr>
        <w:rPr>
          <w:b/>
          <w:sz w:val="24"/>
        </w:rPr>
      </w:pPr>
    </w:p>
    <w:p w14:paraId="3617F0A6" w14:textId="6E22D848" w:rsidR="00D540C1" w:rsidRDefault="00D540C1" w:rsidP="005B7FDC">
      <w:pPr>
        <w:pStyle w:val="T"/>
        <w:rPr>
          <w:w w:val="100"/>
        </w:rPr>
      </w:pPr>
      <w:r>
        <w:rPr>
          <w:w w:val="100"/>
        </w:rPr>
        <w:t xml:space="preserve">The S1G Open-Loop Link Margin Index element can be used for open-loop link adaptation and open-loop transmit power control. When a STA receives the Open-loop link Margin index, it can calculate the S1G Open-Loop Link Margin </w:t>
      </w:r>
      <w:r>
        <w:rPr>
          <w:rFonts w:ascii="Symbol" w:hAnsi="Symbol" w:cs="Symbol"/>
          <w:i/>
          <w:iCs/>
          <w:w w:val="100"/>
        </w:rPr>
        <w:t>D</w:t>
      </w:r>
      <w:r>
        <w:rPr>
          <w:i/>
          <w:iCs/>
          <w:w w:val="100"/>
          <w:vertAlign w:val="subscript"/>
        </w:rPr>
        <w:t xml:space="preserve">OPLM </w:t>
      </w:r>
      <w:r>
        <w:rPr>
          <w:w w:val="100"/>
        </w:rPr>
        <w:t xml:space="preserve">by using (–128 + </w:t>
      </w:r>
      <w:r>
        <w:rPr>
          <w:i/>
          <w:iCs/>
          <w:w w:val="100"/>
        </w:rPr>
        <w:t xml:space="preserve">D </w:t>
      </w:r>
      <w:r>
        <w:rPr>
          <w:w w:val="100"/>
        </w:rPr>
        <w:t xml:space="preserve">× 0.5) </w:t>
      </w:r>
      <w:proofErr w:type="spellStart"/>
      <w:r>
        <w:rPr>
          <w:w w:val="100"/>
        </w:rPr>
        <w:t>dB.</w:t>
      </w:r>
      <w:proofErr w:type="spellEnd"/>
      <w:r>
        <w:rPr>
          <w:w w:val="100"/>
        </w:rPr>
        <w:t xml:space="preserve"> Then the SNR margin over the MCS 10 can be derived at the STA that receives the frame that contains S1G Open-Loop Link Margin Index based on its own transmit power </w:t>
      </w:r>
      <w:r>
        <w:rPr>
          <w:i/>
          <w:iCs/>
          <w:w w:val="100"/>
        </w:rPr>
        <w:t>P</w:t>
      </w:r>
      <w:r>
        <w:rPr>
          <w:i/>
          <w:iCs/>
          <w:w w:val="100"/>
          <w:vertAlign w:val="subscript"/>
        </w:rPr>
        <w:t>tx2</w:t>
      </w:r>
      <w:r>
        <w:rPr>
          <w:i/>
          <w:iCs/>
          <w:w w:val="100"/>
        </w:rPr>
        <w:t xml:space="preserve"> </w:t>
      </w:r>
      <w:r>
        <w:rPr>
          <w:w w:val="100"/>
        </w:rPr>
        <w:t xml:space="preserve">and the received </w:t>
      </w:r>
      <w:r w:rsidRPr="00D540C1">
        <w:rPr>
          <w:strike/>
          <w:w w:val="100"/>
        </w:rPr>
        <w:t>RSSI</w:t>
      </w:r>
      <w:r w:rsidRPr="00D540C1">
        <w:rPr>
          <w:w w:val="100"/>
          <w:u w:val="single"/>
        </w:rPr>
        <w:t>RCPI</w:t>
      </w:r>
      <w:r>
        <w:rPr>
          <w:w w:val="100"/>
        </w:rPr>
        <w:t xml:space="preserve"> measured for the PPDU containing the S1G Open-Loop Link Margin Index.</w:t>
      </w:r>
    </w:p>
    <w:p w14:paraId="20A4006D" w14:textId="36C9D535" w:rsidR="00D540C1" w:rsidRDefault="00D540C1" w:rsidP="00D540C1">
      <w:pPr>
        <w:pStyle w:val="EU"/>
        <w:rPr>
          <w:w w:val="100"/>
        </w:rPr>
      </w:pPr>
      <w:proofErr w:type="spellStart"/>
      <w:r>
        <w:rPr>
          <w:w w:val="100"/>
        </w:rPr>
        <w:t>SNR</w:t>
      </w:r>
      <w:r w:rsidRPr="005B7FDC">
        <w:rPr>
          <w:w w:val="100"/>
          <w:vertAlign w:val="subscript"/>
        </w:rPr>
        <w:t>Margin</w:t>
      </w:r>
      <w:proofErr w:type="spellEnd"/>
      <w:r>
        <w:rPr>
          <w:w w:val="100"/>
        </w:rPr>
        <w:t xml:space="preserve"> = P</w:t>
      </w:r>
      <w:r w:rsidRPr="005B7FDC">
        <w:rPr>
          <w:w w:val="100"/>
          <w:vertAlign w:val="subscript"/>
        </w:rPr>
        <w:t>tx2</w:t>
      </w:r>
      <w:r>
        <w:rPr>
          <w:w w:val="100"/>
        </w:rPr>
        <w:t xml:space="preserve"> </w:t>
      </w:r>
      <w:r w:rsidR="005B7FDC">
        <w:rPr>
          <w:w w:val="100"/>
        </w:rPr>
        <w:t>–</w:t>
      </w:r>
      <w:r>
        <w:rPr>
          <w:w w:val="100"/>
        </w:rPr>
        <w:t xml:space="preserve"> </w:t>
      </w:r>
      <w:r w:rsidR="005B7FDC">
        <w:rPr>
          <w:w w:val="100"/>
        </w:rPr>
        <w:t>Δ</w:t>
      </w:r>
      <w:r w:rsidR="005B7FDC" w:rsidRPr="005B7FDC">
        <w:rPr>
          <w:w w:val="100"/>
          <w:vertAlign w:val="subscript"/>
        </w:rPr>
        <w:t>OPLM</w:t>
      </w:r>
      <w:r w:rsidR="005B7FDC">
        <w:rPr>
          <w:w w:val="100"/>
        </w:rPr>
        <w:t xml:space="preserve"> + </w:t>
      </w:r>
      <w:r w:rsidR="005B7FDC" w:rsidRPr="005B7FDC">
        <w:rPr>
          <w:strike/>
          <w:w w:val="100"/>
        </w:rPr>
        <w:t>RSSI</w:t>
      </w:r>
      <w:r w:rsidR="005B7FDC" w:rsidRPr="005B7FDC">
        <w:rPr>
          <w:w w:val="100"/>
          <w:u w:val="single"/>
        </w:rPr>
        <w:t>RCPI</w:t>
      </w:r>
    </w:p>
    <w:p w14:paraId="7998B174" w14:textId="2186F1FB" w:rsidR="00D54F33" w:rsidRPr="00B13ED0" w:rsidRDefault="00D54F33" w:rsidP="00D54F33">
      <w:pPr>
        <w:pStyle w:val="T"/>
        <w:rPr>
          <w:w w:val="100"/>
        </w:rPr>
      </w:pPr>
    </w:p>
    <w:p w14:paraId="584C0DF3" w14:textId="6EE51D81" w:rsidR="001D4DD2" w:rsidRPr="00B13ED0" w:rsidRDefault="001D4DD2">
      <w:pPr>
        <w:rPr>
          <w:b/>
          <w:sz w:val="24"/>
        </w:rPr>
      </w:pPr>
    </w:p>
    <w:p w14:paraId="18F592C9" w14:textId="200CE50A" w:rsidR="0030739A" w:rsidRDefault="0030739A">
      <w:pPr>
        <w:rPr>
          <w:b/>
          <w:sz w:val="24"/>
        </w:rPr>
      </w:pPr>
    </w:p>
    <w:p w14:paraId="3656BF5B" w14:textId="77777777" w:rsidR="00CE7BAB" w:rsidRDefault="00CE7BAB">
      <w:pPr>
        <w:rPr>
          <w:b/>
          <w:sz w:val="24"/>
        </w:rPr>
      </w:pPr>
    </w:p>
    <w:p w14:paraId="241102DD" w14:textId="77777777" w:rsidR="00030AB6" w:rsidRDefault="00030AB6">
      <w:pPr>
        <w:rPr>
          <w:b/>
          <w:sz w:val="24"/>
        </w:rPr>
      </w:pPr>
    </w:p>
    <w:p w14:paraId="63BA6D38" w14:textId="3339BBD6" w:rsidR="002C57FF" w:rsidRDefault="002C57FF" w:rsidP="002C57FF">
      <w:pPr>
        <w:rPr>
          <w:i/>
          <w:iCs/>
        </w:rPr>
      </w:pPr>
      <w:r>
        <w:rPr>
          <w:i/>
          <w:iCs/>
        </w:rPr>
        <w:t>Proposed change: for clause 23.2.2, Table 23-1</w:t>
      </w:r>
    </w:p>
    <w:p w14:paraId="3DB175DA" w14:textId="5C02FF5D" w:rsidR="002C57FF" w:rsidRDefault="002C57FF" w:rsidP="002C57FF">
      <w:pPr>
        <w:rPr>
          <w:i/>
          <w:iCs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3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2600"/>
        <w:gridCol w:w="4600"/>
        <w:gridCol w:w="420"/>
        <w:gridCol w:w="420"/>
      </w:tblGrid>
      <w:tr w:rsidR="002C57FF" w14:paraId="15AA9FF7" w14:textId="77777777" w:rsidTr="007F21AD">
        <w:trPr>
          <w:trHeight w:val="1600"/>
          <w:jc w:val="center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4D192FFC" w14:textId="77777777" w:rsidR="002C57FF" w:rsidRDefault="002C57FF" w:rsidP="007F21A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DELTA_SNR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52B9C0" w14:textId="77777777" w:rsidR="002C57FF" w:rsidRDefault="002C57FF" w:rsidP="007F21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 xml:space="preserve">FORMAT is S1G </w:t>
            </w:r>
            <w:r>
              <w:rPr>
                <w:w w:val="100"/>
              </w:rPr>
              <w:br/>
              <w:t xml:space="preserve">and </w:t>
            </w:r>
            <w:r>
              <w:rPr>
                <w:w w:val="100"/>
              </w:rPr>
              <w:br/>
              <w:t>(CH_BANDWIDTH is CBW2 or CBW4 or CBW8 or CBW16)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ACE779" w14:textId="77777777" w:rsidR="002C57FF" w:rsidRDefault="002C57FF" w:rsidP="007F21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w w:val="100"/>
              </w:rPr>
              <w:t>Contains an array of delta SNR values as defined in 9.4.1.51 (MU Exclusive Beamforming Report field) based on the channel measured during the training symbols of the received S1G NDP.</w:t>
            </w:r>
          </w:p>
          <w:p w14:paraId="2E38D5F0" w14:textId="77777777" w:rsidR="002C57FF" w:rsidRDefault="002C57FF" w:rsidP="007F21AD">
            <w:pPr>
              <w:pStyle w:val="Note"/>
            </w:pPr>
            <w:r>
              <w:rPr>
                <w:w w:val="100"/>
              </w:rPr>
              <w:t>NOTE—In the RXVECTOR this parameter is present only for S1G NDPs for MU sounding.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742EE1" w14:textId="77777777" w:rsidR="002C57FF" w:rsidRDefault="002C57FF" w:rsidP="007F21A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MU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374DA5" w14:textId="77777777" w:rsidR="002C57FF" w:rsidRDefault="002C57FF" w:rsidP="007F21A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Y</w:t>
            </w:r>
          </w:p>
        </w:tc>
      </w:tr>
      <w:tr w:rsidR="002C57FF" w14:paraId="74856F51" w14:textId="77777777" w:rsidTr="007F21AD">
        <w:trPr>
          <w:trHeight w:val="360"/>
          <w:jc w:val="center"/>
        </w:trPr>
        <w:tc>
          <w:tcPr>
            <w:tcW w:w="60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DC78538" w14:textId="77777777" w:rsidR="002C57FF" w:rsidRDefault="002C57FF" w:rsidP="007F21AD">
            <w:pPr>
              <w:pStyle w:val="Body"/>
              <w:spacing w:before="0" w:line="240" w:lineRule="auto"/>
              <w:jc w:val="left"/>
              <w:rPr>
                <w:rFonts w:ascii="Courier" w:hAnsi="Courier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4EA1E9" w14:textId="77777777" w:rsidR="002C57FF" w:rsidRDefault="002C57FF" w:rsidP="007F21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Otherwise</w:t>
            </w: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A66F6A" w14:textId="77777777" w:rsidR="002C57FF" w:rsidRDefault="002C57FF" w:rsidP="007F21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Not present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D1471" w14:textId="77777777" w:rsidR="002C57FF" w:rsidRDefault="002C57FF" w:rsidP="007F21A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D61237" w14:textId="77777777" w:rsidR="002C57FF" w:rsidRDefault="002C57FF" w:rsidP="007F21A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</w:t>
            </w:r>
          </w:p>
        </w:tc>
      </w:tr>
      <w:tr w:rsidR="002C57FF" w14:paraId="37316D31" w14:textId="77777777" w:rsidTr="002C57FF">
        <w:trPr>
          <w:cantSplit/>
          <w:trHeight w:val="1134"/>
          <w:jc w:val="center"/>
        </w:trPr>
        <w:tc>
          <w:tcPr>
            <w:tcW w:w="6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A037209" w14:textId="57F6E355" w:rsidR="002C57FF" w:rsidRPr="001360E7" w:rsidRDefault="002C57FF" w:rsidP="002C57FF">
            <w:pPr>
              <w:pStyle w:val="Body"/>
              <w:spacing w:before="0" w:line="240" w:lineRule="auto"/>
              <w:ind w:left="113" w:right="113"/>
              <w:jc w:val="left"/>
              <w:rPr>
                <w:rFonts w:ascii="Courier" w:hAnsi="Courier" w:cstheme="minorBidi"/>
                <w:color w:val="auto"/>
                <w:w w:val="100"/>
                <w:sz w:val="24"/>
                <w:szCs w:val="24"/>
                <w:u w:val="single"/>
              </w:rPr>
            </w:pPr>
            <w:r w:rsidRPr="001360E7">
              <w:rPr>
                <w:rFonts w:ascii="Courier" w:hAnsi="Courier" w:cstheme="minorBidi"/>
                <w:color w:val="auto"/>
                <w:w w:val="100"/>
                <w:sz w:val="24"/>
                <w:szCs w:val="24"/>
                <w:u w:val="single"/>
              </w:rPr>
              <w:t>RCPI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3AA114" w14:textId="77777777" w:rsidR="002C57FF" w:rsidRDefault="002C57FF" w:rsidP="007F21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B71BDF" w14:textId="77777777" w:rsidR="002C57FF" w:rsidRPr="001360E7" w:rsidRDefault="002C57FF" w:rsidP="002C57F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  <w:u w:val="single"/>
              </w:rPr>
            </w:pPr>
            <w:r w:rsidRPr="001360E7">
              <w:rPr>
                <w:w w:val="100"/>
                <w:u w:val="single"/>
              </w:rPr>
              <w:t>Is a measure of the received RF power averaged over all the</w:t>
            </w:r>
          </w:p>
          <w:p w14:paraId="3AB52409" w14:textId="4D31AC98" w:rsidR="002C57FF" w:rsidRPr="001360E7" w:rsidRDefault="002C57FF" w:rsidP="002C57F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  <w:u w:val="single"/>
              </w:rPr>
            </w:pPr>
            <w:r w:rsidRPr="001360E7">
              <w:rPr>
                <w:w w:val="100"/>
                <w:u w:val="single"/>
              </w:rPr>
              <w:t xml:space="preserve">receive chains in the </w:t>
            </w:r>
            <w:r w:rsidR="00092748">
              <w:rPr>
                <w:w w:val="100"/>
                <w:u w:val="single"/>
              </w:rPr>
              <w:t>STF or LTF</w:t>
            </w:r>
            <w:r w:rsidRPr="001360E7">
              <w:rPr>
                <w:w w:val="100"/>
                <w:u w:val="single"/>
              </w:rPr>
              <w:t xml:space="preserve"> field</w:t>
            </w:r>
            <w:r w:rsidR="00092748">
              <w:rPr>
                <w:w w:val="100"/>
                <w:u w:val="single"/>
              </w:rPr>
              <w:t>s</w:t>
            </w:r>
            <w:r w:rsidRPr="001360E7">
              <w:rPr>
                <w:w w:val="100"/>
                <w:u w:val="single"/>
              </w:rPr>
              <w:t xml:space="preserve"> of a received PPDU.</w:t>
            </w:r>
          </w:p>
          <w:p w14:paraId="514265FD" w14:textId="286DFCFB" w:rsidR="002C57FF" w:rsidRPr="001360E7" w:rsidRDefault="002C57FF" w:rsidP="002C57F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  <w:u w:val="single"/>
              </w:rPr>
            </w:pPr>
            <w:r w:rsidRPr="001360E7">
              <w:rPr>
                <w:w w:val="100"/>
                <w:u w:val="single"/>
              </w:rPr>
              <w:t xml:space="preserve">Refer to </w:t>
            </w:r>
            <w:r w:rsidR="00092748">
              <w:rPr>
                <w:w w:val="100"/>
                <w:u w:val="single"/>
              </w:rPr>
              <w:t>23.3.18.7</w:t>
            </w:r>
            <w:r w:rsidRPr="001360E7">
              <w:rPr>
                <w:w w:val="100"/>
                <w:u w:val="single"/>
              </w:rPr>
              <w:t xml:space="preserve"> for the definition of RCPI.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F800F" w14:textId="3ABB4D4B" w:rsidR="002C57FF" w:rsidRPr="001360E7" w:rsidRDefault="002C57FF" w:rsidP="007F21A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u w:val="single"/>
              </w:rPr>
            </w:pPr>
            <w:r w:rsidRPr="001360E7">
              <w:rPr>
                <w:w w:val="100"/>
                <w:u w:val="single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F0C7E5" w14:textId="3E91048C" w:rsidR="002C57FF" w:rsidRPr="001360E7" w:rsidRDefault="002C57FF" w:rsidP="007F21A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u w:val="single"/>
              </w:rPr>
            </w:pPr>
            <w:r w:rsidRPr="001360E7">
              <w:rPr>
                <w:w w:val="100"/>
                <w:u w:val="single"/>
              </w:rPr>
              <w:t>Y</w:t>
            </w:r>
          </w:p>
        </w:tc>
      </w:tr>
      <w:tr w:rsidR="002C57FF" w14:paraId="5A5F616E" w14:textId="77777777" w:rsidTr="007F21AD">
        <w:trPr>
          <w:trHeight w:val="1360"/>
          <w:jc w:val="center"/>
        </w:trPr>
        <w:tc>
          <w:tcPr>
            <w:tcW w:w="6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E0C5E21" w14:textId="77777777" w:rsidR="002C57FF" w:rsidRDefault="002C57FF" w:rsidP="007F21A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SNR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83DA72" w14:textId="77777777" w:rsidR="002C57FF" w:rsidRDefault="002C57FF" w:rsidP="007F21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</w:p>
        </w:tc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604C0A" w14:textId="77777777" w:rsidR="002C57FF" w:rsidRDefault="002C57FF" w:rsidP="007F21A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 xml:space="preserve">Contains an array of measures of the received SNR for each spatial stream. SNR indications of 8 bits are supported. SNR shall be the sum of the decibel values of SNR per </w:t>
            </w:r>
            <w:proofErr w:type="spellStart"/>
            <w:r>
              <w:rPr>
                <w:w w:val="100"/>
              </w:rPr>
              <w:t>tone</w:t>
            </w:r>
            <w:proofErr w:type="spellEnd"/>
            <w:r>
              <w:rPr>
                <w:w w:val="100"/>
              </w:rPr>
              <w:t xml:space="preserve"> divided by the number of tones represented in each stream as described in 9.4.1.49 (VHT Compressed Beamforming Report field).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51E297" w14:textId="77777777" w:rsidR="002C57FF" w:rsidRDefault="002C57FF" w:rsidP="007F21A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6E9539" w14:textId="77777777" w:rsidR="002C57FF" w:rsidRDefault="002C57FF" w:rsidP="007F21A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Y</w:t>
            </w:r>
          </w:p>
        </w:tc>
      </w:tr>
    </w:tbl>
    <w:p w14:paraId="7A0B8473" w14:textId="77777777" w:rsidR="002C57FF" w:rsidRPr="002C57FF" w:rsidRDefault="002C57FF" w:rsidP="002C57FF">
      <w:pPr>
        <w:rPr>
          <w:b/>
          <w:sz w:val="24"/>
        </w:rPr>
      </w:pPr>
    </w:p>
    <w:p w14:paraId="3DA689B1" w14:textId="3FB8F33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049B" w14:textId="77777777" w:rsidR="00564BF9" w:rsidRDefault="00564BF9">
      <w:r>
        <w:separator/>
      </w:r>
    </w:p>
  </w:endnote>
  <w:endnote w:type="continuationSeparator" w:id="0">
    <w:p w14:paraId="49E4A81D" w14:textId="77777777" w:rsidR="00564BF9" w:rsidRDefault="0056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 xml:space="preserve">Dave </w:t>
    </w:r>
    <w:proofErr w:type="spellStart"/>
    <w:r w:rsidR="009B7613">
      <w:t>Halasz</w:t>
    </w:r>
    <w:proofErr w:type="spellEnd"/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175E" w14:textId="77777777" w:rsidR="00564BF9" w:rsidRDefault="00564BF9">
      <w:r>
        <w:separator/>
      </w:r>
    </w:p>
  </w:footnote>
  <w:footnote w:type="continuationSeparator" w:id="0">
    <w:p w14:paraId="6239FFFB" w14:textId="77777777" w:rsidR="00564BF9" w:rsidRDefault="0056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51734CE2" w:rsidR="00946C79" w:rsidRDefault="002B5521">
    <w:pPr>
      <w:pStyle w:val="Header"/>
      <w:tabs>
        <w:tab w:val="clear" w:pos="6480"/>
        <w:tab w:val="center" w:pos="4680"/>
        <w:tab w:val="right" w:pos="9360"/>
      </w:tabs>
    </w:pPr>
    <w:r>
      <w:t>A</w:t>
    </w:r>
    <w:r w:rsidR="00376217">
      <w:t>ugust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 w:rsidR="00AF4848">
        <w:t>2</w:t>
      </w:r>
      <w:r w:rsidR="009B7613">
        <w:t>/</w:t>
      </w:r>
      <w:r w:rsidR="00AF4848">
        <w:t>0</w:t>
      </w:r>
      <w:r w:rsidR="00376217">
        <w:t>1431</w:t>
      </w:r>
      <w:r w:rsidR="009B7613">
        <w:t>r</w:t>
      </w:r>
    </w:fldSimple>
    <w:r w:rsidR="00D6365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9"/>
  </w:num>
  <w:num w:numId="14" w16cid:durableId="2043939966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1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92748"/>
    <w:rsid w:val="000B3458"/>
    <w:rsid w:val="000D1543"/>
    <w:rsid w:val="000F2271"/>
    <w:rsid w:val="00107C40"/>
    <w:rsid w:val="001325C6"/>
    <w:rsid w:val="00132C7D"/>
    <w:rsid w:val="001360E7"/>
    <w:rsid w:val="00150F93"/>
    <w:rsid w:val="001647C7"/>
    <w:rsid w:val="001A12ED"/>
    <w:rsid w:val="001A4A64"/>
    <w:rsid w:val="001B03AF"/>
    <w:rsid w:val="001B3778"/>
    <w:rsid w:val="001D4DD2"/>
    <w:rsid w:val="002324AC"/>
    <w:rsid w:val="00241429"/>
    <w:rsid w:val="002757A3"/>
    <w:rsid w:val="002A41B9"/>
    <w:rsid w:val="002B5521"/>
    <w:rsid w:val="002C57FF"/>
    <w:rsid w:val="002D1AA7"/>
    <w:rsid w:val="002F07AC"/>
    <w:rsid w:val="002F2EFE"/>
    <w:rsid w:val="0030739A"/>
    <w:rsid w:val="00307D07"/>
    <w:rsid w:val="0033568F"/>
    <w:rsid w:val="00357A86"/>
    <w:rsid w:val="00376217"/>
    <w:rsid w:val="00392C6C"/>
    <w:rsid w:val="003B4A0B"/>
    <w:rsid w:val="004B0D6A"/>
    <w:rsid w:val="004C4595"/>
    <w:rsid w:val="004D7565"/>
    <w:rsid w:val="004E335A"/>
    <w:rsid w:val="004F7B00"/>
    <w:rsid w:val="005015B9"/>
    <w:rsid w:val="00510A36"/>
    <w:rsid w:val="0053198C"/>
    <w:rsid w:val="00560232"/>
    <w:rsid w:val="00564BF9"/>
    <w:rsid w:val="00572F32"/>
    <w:rsid w:val="00591BAE"/>
    <w:rsid w:val="005B1241"/>
    <w:rsid w:val="005B7FDC"/>
    <w:rsid w:val="00660A98"/>
    <w:rsid w:val="00680CC8"/>
    <w:rsid w:val="00691194"/>
    <w:rsid w:val="006D20A1"/>
    <w:rsid w:val="006D276D"/>
    <w:rsid w:val="006D60A8"/>
    <w:rsid w:val="006E5F87"/>
    <w:rsid w:val="006F2045"/>
    <w:rsid w:val="006F2A3C"/>
    <w:rsid w:val="006F36C6"/>
    <w:rsid w:val="007016BD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24B9F"/>
    <w:rsid w:val="008325F1"/>
    <w:rsid w:val="00856F17"/>
    <w:rsid w:val="00863B55"/>
    <w:rsid w:val="0087021A"/>
    <w:rsid w:val="008722CD"/>
    <w:rsid w:val="0087588E"/>
    <w:rsid w:val="00876804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273A7"/>
    <w:rsid w:val="00942BF6"/>
    <w:rsid w:val="009461D3"/>
    <w:rsid w:val="00946C79"/>
    <w:rsid w:val="00951730"/>
    <w:rsid w:val="009747D2"/>
    <w:rsid w:val="009B3E1D"/>
    <w:rsid w:val="009B7613"/>
    <w:rsid w:val="009B7DC6"/>
    <w:rsid w:val="009E65AD"/>
    <w:rsid w:val="009E6C39"/>
    <w:rsid w:val="009F3EB8"/>
    <w:rsid w:val="00A30421"/>
    <w:rsid w:val="00A5398C"/>
    <w:rsid w:val="00A66D00"/>
    <w:rsid w:val="00A864D5"/>
    <w:rsid w:val="00AE22E5"/>
    <w:rsid w:val="00AE2EE0"/>
    <w:rsid w:val="00AF4848"/>
    <w:rsid w:val="00B13ED0"/>
    <w:rsid w:val="00B20E5A"/>
    <w:rsid w:val="00B263C8"/>
    <w:rsid w:val="00B27CFA"/>
    <w:rsid w:val="00B36495"/>
    <w:rsid w:val="00B70904"/>
    <w:rsid w:val="00B813E0"/>
    <w:rsid w:val="00BE1080"/>
    <w:rsid w:val="00C21934"/>
    <w:rsid w:val="00C24A22"/>
    <w:rsid w:val="00CB03E5"/>
    <w:rsid w:val="00CC184F"/>
    <w:rsid w:val="00CC566E"/>
    <w:rsid w:val="00CD334F"/>
    <w:rsid w:val="00CE7BAB"/>
    <w:rsid w:val="00D21A52"/>
    <w:rsid w:val="00D21CCF"/>
    <w:rsid w:val="00D24545"/>
    <w:rsid w:val="00D31361"/>
    <w:rsid w:val="00D44CD5"/>
    <w:rsid w:val="00D540C1"/>
    <w:rsid w:val="00D54F33"/>
    <w:rsid w:val="00D6365A"/>
    <w:rsid w:val="00D8560B"/>
    <w:rsid w:val="00D87C5F"/>
    <w:rsid w:val="00DA5EA1"/>
    <w:rsid w:val="00DC320B"/>
    <w:rsid w:val="00DC3847"/>
    <w:rsid w:val="00DE3AC0"/>
    <w:rsid w:val="00E04833"/>
    <w:rsid w:val="00E40172"/>
    <w:rsid w:val="00E427F6"/>
    <w:rsid w:val="00E56653"/>
    <w:rsid w:val="00E8352C"/>
    <w:rsid w:val="00E90A1F"/>
    <w:rsid w:val="00EE467E"/>
    <w:rsid w:val="00F1758C"/>
    <w:rsid w:val="00F31898"/>
    <w:rsid w:val="00F334C4"/>
    <w:rsid w:val="00F34D65"/>
    <w:rsid w:val="00F709E1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EU">
    <w:name w:val="EU"/>
    <w:aliases w:val="EquationUnnumbered"/>
    <w:uiPriority w:val="99"/>
    <w:rsid w:val="00D540C1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Body">
    <w:name w:val="Body"/>
    <w:rsid w:val="002C57F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8244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david.e.halasz@outlook.com</cp:lastModifiedBy>
  <cp:revision>45</cp:revision>
  <dcterms:created xsi:type="dcterms:W3CDTF">2022-02-01T19:00:00Z</dcterms:created>
  <dcterms:modified xsi:type="dcterms:W3CDTF">2022-09-01T15:46:00Z</dcterms:modified>
</cp:coreProperties>
</file>