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317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90"/>
        <w:gridCol w:w="1629"/>
        <w:gridCol w:w="801"/>
        <w:gridCol w:w="2561"/>
      </w:tblGrid>
      <w:tr w:rsidR="00CA09B2" w14:paraId="0D628B3F" w14:textId="77777777" w:rsidTr="0095017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499193" w14:textId="239E9DAC" w:rsidR="00CA09B2" w:rsidRDefault="005D07DB">
            <w:pPr>
              <w:pStyle w:val="T2"/>
            </w:pPr>
            <w:r>
              <w:t xml:space="preserve">LB266 </w:t>
            </w:r>
            <w:r w:rsidR="00950171">
              <w:t xml:space="preserve">CIDs </w:t>
            </w:r>
            <w:r w:rsidR="00950171" w:rsidRPr="00950171">
              <w:t>11530</w:t>
            </w:r>
            <w:r w:rsidR="00950171">
              <w:t xml:space="preserve"> and </w:t>
            </w:r>
            <w:r w:rsidR="00950171" w:rsidRPr="00950171">
              <w:t>11850</w:t>
            </w:r>
          </w:p>
        </w:tc>
      </w:tr>
      <w:tr w:rsidR="00CA09B2" w14:paraId="367B75EE" w14:textId="77777777" w:rsidTr="0095017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84B75F" w14:textId="6AA9B1F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50171">
              <w:rPr>
                <w:b w:val="0"/>
                <w:sz w:val="20"/>
              </w:rPr>
              <w:t>2022-08-23</w:t>
            </w:r>
          </w:p>
        </w:tc>
      </w:tr>
      <w:tr w:rsidR="00CA09B2" w14:paraId="62A3BA8E" w14:textId="77777777" w:rsidTr="0095017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67EA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DE9406" w14:textId="77777777" w:rsidTr="00950171">
        <w:trPr>
          <w:jc w:val="center"/>
        </w:trPr>
        <w:tc>
          <w:tcPr>
            <w:tcW w:w="2695" w:type="dxa"/>
            <w:vAlign w:val="center"/>
          </w:tcPr>
          <w:p w14:paraId="3E38B8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20FD462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29" w:type="dxa"/>
            <w:vAlign w:val="center"/>
          </w:tcPr>
          <w:p w14:paraId="2F77F5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1" w:type="dxa"/>
            <w:vAlign w:val="center"/>
          </w:tcPr>
          <w:p w14:paraId="2814A1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3A84A5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21AABF7" w14:textId="77777777" w:rsidTr="00950171">
        <w:trPr>
          <w:jc w:val="center"/>
        </w:trPr>
        <w:tc>
          <w:tcPr>
            <w:tcW w:w="2695" w:type="dxa"/>
            <w:vAlign w:val="center"/>
          </w:tcPr>
          <w:p w14:paraId="2EE1679F" w14:textId="318D65B9" w:rsidR="00CA09B2" w:rsidRDefault="00950171" w:rsidP="009501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890" w:type="dxa"/>
            <w:vAlign w:val="center"/>
          </w:tcPr>
          <w:p w14:paraId="18511681" w14:textId="73AD9F5F" w:rsidR="00CA09B2" w:rsidRDefault="00950171" w:rsidP="009501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629" w:type="dxa"/>
            <w:vAlign w:val="center"/>
          </w:tcPr>
          <w:p w14:paraId="79D921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9DCFA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D904101" w14:textId="027A4168" w:rsidR="00CA09B2" w:rsidRDefault="00950171" w:rsidP="00950171">
            <w:pPr>
              <w:pStyle w:val="T2"/>
              <w:spacing w:after="0"/>
              <w:ind w:left="0" w:right="0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7168EAA4" w14:textId="77777777" w:rsidTr="00950171">
        <w:trPr>
          <w:jc w:val="center"/>
        </w:trPr>
        <w:tc>
          <w:tcPr>
            <w:tcW w:w="2695" w:type="dxa"/>
            <w:vAlign w:val="center"/>
          </w:tcPr>
          <w:p w14:paraId="4443EC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7CC4DB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2718A5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944DE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F7E0A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FE80B9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D60152" wp14:editId="36FD703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EE3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318923" w14:textId="79745AAD" w:rsidR="0029020B" w:rsidRDefault="0038316A">
                            <w:pPr>
                              <w:jc w:val="both"/>
                            </w:pPr>
                            <w:r>
                              <w:t>This submission proposes resolutions for the following CIDs:</w:t>
                            </w:r>
                          </w:p>
                          <w:p w14:paraId="7FC7AA23" w14:textId="68D3E9C6" w:rsidR="0038316A" w:rsidRDefault="0038316A" w:rsidP="00383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11530 and 11850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601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BEE3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318923" w14:textId="79745AAD" w:rsidR="0029020B" w:rsidRDefault="0038316A">
                      <w:pPr>
                        <w:jc w:val="both"/>
                      </w:pPr>
                      <w:r>
                        <w:t>This submission proposes resolutions for the following CIDs:</w:t>
                      </w:r>
                    </w:p>
                    <w:p w14:paraId="7FC7AA23" w14:textId="68D3E9C6" w:rsidR="0038316A" w:rsidRDefault="0038316A" w:rsidP="003831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11530 and 11850</w:t>
                      </w:r>
                    </w:p>
                  </w:txbxContent>
                </v:textbox>
              </v:shape>
            </w:pict>
          </mc:Fallback>
        </mc:AlternateContent>
      </w:r>
    </w:p>
    <w:p w14:paraId="1E9D2FD2" w14:textId="55271E59" w:rsidR="00CA09B2" w:rsidRDefault="00CA09B2" w:rsidP="00A022D8">
      <w:pPr>
        <w:pStyle w:val="Heading1"/>
      </w:pPr>
      <w:r>
        <w:br w:type="page"/>
      </w:r>
      <w:r w:rsidR="00A022D8">
        <w:lastRenderedPageBreak/>
        <w:t>CIDs</w:t>
      </w:r>
    </w:p>
    <w:p w14:paraId="58C41F29" w14:textId="77777777" w:rsidR="00A022D8" w:rsidRDefault="00A022D8">
      <w:pPr>
        <w:rPr>
          <w:b/>
          <w:u w:val="single"/>
        </w:rPr>
      </w:pPr>
    </w:p>
    <w:tbl>
      <w:tblPr>
        <w:tblW w:w="11790" w:type="dxa"/>
        <w:tblInd w:w="-905" w:type="dxa"/>
        <w:tblLook w:val="04A0" w:firstRow="1" w:lastRow="0" w:firstColumn="1" w:lastColumn="0" w:noHBand="0" w:noVBand="1"/>
      </w:tblPr>
      <w:tblGrid>
        <w:gridCol w:w="774"/>
        <w:gridCol w:w="1219"/>
        <w:gridCol w:w="828"/>
        <w:gridCol w:w="4052"/>
        <w:gridCol w:w="1857"/>
        <w:gridCol w:w="3060"/>
      </w:tblGrid>
      <w:tr w:rsidR="00A022D8" w:rsidRPr="00A022D8" w14:paraId="7144B501" w14:textId="3D6A8D34" w:rsidTr="00A022D8">
        <w:trPr>
          <w:trHeight w:val="870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2DBB01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6BF100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096C75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40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92AE14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8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2D0C7C" w14:textId="77777777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A022D8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0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BB7D21E" w14:textId="1AC5967F" w:rsidR="00A022D8" w:rsidRPr="00A022D8" w:rsidRDefault="00A022D8" w:rsidP="00A022D8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Proposed Resolution</w:t>
            </w:r>
          </w:p>
        </w:tc>
      </w:tr>
      <w:tr w:rsidR="00A022D8" w:rsidRPr="00A022D8" w14:paraId="19351A41" w14:textId="160494A7" w:rsidTr="00A022D8">
        <w:trPr>
          <w:trHeight w:val="1250"/>
        </w:trPr>
        <w:tc>
          <w:tcPr>
            <w:tcW w:w="77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E0DDE6" w14:textId="77777777" w:rsidR="00A022D8" w:rsidRPr="00A022D8" w:rsidRDefault="00A022D8" w:rsidP="00A022D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11530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ADA82F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10.15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9CEA4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297.38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952EE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it is unclear whether dot11HELDPCcodinginplayloadimplmented is for the transmitting or receiving STA. Please clarify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8F36C6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2778A9D" w14:textId="6F14EC8F" w:rsidR="00E36124" w:rsidRDefault="00E36124" w:rsidP="00A022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</w:p>
          <w:p w14:paraId="10C426A2" w14:textId="500AD1EB" w:rsidR="00E36124" w:rsidRDefault="00E36124" w:rsidP="00A022D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C796A5" w14:textId="0864AE77" w:rsidR="00A022D8" w:rsidRPr="00A022D8" w:rsidRDefault="00E36124" w:rsidP="00E3612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Editor’s instructions: apply </w:t>
            </w:r>
            <w:r w:rsidR="00C650C0">
              <w:rPr>
                <w:rFonts w:ascii="Arial" w:hAnsi="Arial" w:cs="Arial"/>
                <w:sz w:val="20"/>
                <w:lang w:val="en-US"/>
              </w:rPr>
              <w:t>“</w:t>
            </w:r>
            <w:r w:rsidR="00C650C0" w:rsidRPr="00C650C0">
              <w:rPr>
                <w:rFonts w:ascii="Arial" w:hAnsi="Arial" w:cs="Arial"/>
                <w:sz w:val="20"/>
                <w:lang w:val="en-US"/>
              </w:rPr>
              <w:t>Proposed text changes</w:t>
            </w:r>
            <w:r w:rsidR="00C650C0">
              <w:rPr>
                <w:rFonts w:ascii="Arial" w:hAnsi="Arial" w:cs="Arial"/>
                <w:sz w:val="20"/>
                <w:lang w:val="en-US"/>
              </w:rPr>
              <w:t>”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650C0">
              <w:rPr>
                <w:rFonts w:ascii="Arial" w:hAnsi="Arial" w:cs="Arial"/>
                <w:sz w:val="20"/>
                <w:lang w:val="en-US"/>
              </w:rPr>
              <w:t>given</w:t>
            </w:r>
            <w:r w:rsidR="00CD5118">
              <w:rPr>
                <w:rFonts w:ascii="Arial" w:hAnsi="Arial" w:cs="Arial"/>
                <w:sz w:val="20"/>
                <w:lang w:val="en-US"/>
              </w:rPr>
              <w:t xml:space="preserve"> in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alias w:val="Title"/>
                <w:tag w:val=""/>
                <w:id w:val="-709722200"/>
                <w:placeholder>
                  <w:docPart w:val="0E09363504564FBAAF6322EAAA43405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72FDF">
                  <w:rPr>
                    <w:rFonts w:ascii="Arial" w:hAnsi="Arial" w:cs="Arial"/>
                    <w:sz w:val="20"/>
                    <w:lang w:val="en-US"/>
                  </w:rPr>
                  <w:t>802.11-22/1391r1</w:t>
                </w:r>
              </w:sdtContent>
            </w:sdt>
          </w:p>
        </w:tc>
      </w:tr>
      <w:tr w:rsidR="00A022D8" w:rsidRPr="00A022D8" w14:paraId="512142DE" w14:textId="2BEB18D3" w:rsidTr="00A022D8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CFEAA" w14:textId="77777777" w:rsidR="00A022D8" w:rsidRPr="00A022D8" w:rsidRDefault="00A022D8" w:rsidP="00A022D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11850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28B70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10.15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C0CB2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297.35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6FEDAB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I thought LDPC was mandatory for EHT STAs. Please check PHY subclauses and ensure consistency with the normative behavior defined in those subclauses.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D8D45" w14:textId="77777777" w:rsidR="00A022D8" w:rsidRPr="00A022D8" w:rsidRDefault="00A022D8" w:rsidP="00A022D8">
            <w:pPr>
              <w:rPr>
                <w:rFonts w:ascii="Arial" w:hAnsi="Arial" w:cs="Arial"/>
                <w:sz w:val="20"/>
                <w:lang w:val="en-US"/>
              </w:rPr>
            </w:pPr>
            <w:r w:rsidRPr="00A022D8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43E34C1" w14:textId="77777777" w:rsidR="00A022D8" w:rsidRDefault="0043592E" w:rsidP="00A022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</w:p>
          <w:p w14:paraId="762E8381" w14:textId="77777777" w:rsidR="0043592E" w:rsidRDefault="0043592E" w:rsidP="00A022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No action needed. </w:t>
            </w:r>
            <w:r w:rsidR="00827B15">
              <w:rPr>
                <w:rFonts w:ascii="Arial" w:hAnsi="Arial" w:cs="Arial"/>
                <w:sz w:val="20"/>
                <w:lang w:val="en-US"/>
              </w:rPr>
              <w:t>Review of relevant PHY subclauses shows they are consistent with th</w:t>
            </w:r>
            <w:r w:rsidR="00CD5118">
              <w:rPr>
                <w:rFonts w:ascii="Arial" w:hAnsi="Arial" w:cs="Arial"/>
                <w:sz w:val="20"/>
                <w:lang w:val="en-US"/>
              </w:rPr>
              <w:t>e statements in Clause 10.15</w:t>
            </w:r>
            <w:r w:rsidR="00827B15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5242B2B" w14:textId="104DF3ED" w:rsidR="00AF5173" w:rsidRPr="00A022D8" w:rsidRDefault="00AF5173" w:rsidP="00A022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</w:t>
            </w:r>
            <w:r w:rsidR="00BE1174">
              <w:rPr>
                <w:rFonts w:ascii="Arial" w:hAnsi="Arial" w:cs="Arial"/>
                <w:sz w:val="20"/>
                <w:lang w:val="en-US"/>
              </w:rPr>
              <w:t>See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analysis in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alias w:val="Title"/>
                <w:tag w:val=""/>
                <w:id w:val="-236556644"/>
                <w:placeholder>
                  <w:docPart w:val="AA56B1E303E548FB830A1C1D9D8A373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72FDF">
                  <w:rPr>
                    <w:rFonts w:ascii="Arial" w:hAnsi="Arial" w:cs="Arial"/>
                    <w:sz w:val="20"/>
                    <w:lang w:val="en-US"/>
                  </w:rPr>
                  <w:t>802.11-22/1391r1</w:t>
                </w:r>
              </w:sdtContent>
            </w:sdt>
            <w:r w:rsidR="00825003">
              <w:rPr>
                <w:rFonts w:ascii="Arial" w:hAnsi="Arial" w:cs="Arial"/>
                <w:sz w:val="20"/>
                <w:lang w:val="en-US"/>
              </w:rPr>
              <w:t xml:space="preserve"> for details)</w:t>
            </w:r>
          </w:p>
        </w:tc>
      </w:tr>
    </w:tbl>
    <w:p w14:paraId="0F405360" w14:textId="5412A4AD" w:rsidR="00CA09B2" w:rsidRDefault="00CA09B2"/>
    <w:p w14:paraId="6A446579" w14:textId="1A1173B8" w:rsidR="001F4290" w:rsidRDefault="001F4290" w:rsidP="001F4290">
      <w:pPr>
        <w:pStyle w:val="Heading1"/>
      </w:pPr>
      <w:r>
        <w:t>Discussion</w:t>
      </w:r>
    </w:p>
    <w:p w14:paraId="2A9109E0" w14:textId="59B83602" w:rsidR="001F4290" w:rsidRDefault="001F4290"/>
    <w:p w14:paraId="0AFCC4B8" w14:textId="1CC00F4E" w:rsidR="00071A8A" w:rsidRDefault="00071A8A">
      <w:r>
        <w:t>Both comments refer to the following Clause:</w:t>
      </w:r>
    </w:p>
    <w:p w14:paraId="0F17E880" w14:textId="77777777" w:rsidR="00071A8A" w:rsidRDefault="00071A8A"/>
    <w:p w14:paraId="5FBB0F2D" w14:textId="5785C11A" w:rsidR="00071A8A" w:rsidRDefault="00071A8A">
      <w:r>
        <w:rPr>
          <w:noProof/>
        </w:rPr>
        <w:drawing>
          <wp:inline distT="0" distB="0" distL="0" distR="0" wp14:anchorId="47DF01F5" wp14:editId="32D2AEB9">
            <wp:extent cx="5943600" cy="1403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DF0BD" w14:textId="5BAC311B" w:rsidR="00071A8A" w:rsidRDefault="00071A8A"/>
    <w:p w14:paraId="77E4B9FD" w14:textId="77777777" w:rsidR="00071A8A" w:rsidRDefault="00071A8A"/>
    <w:p w14:paraId="1214854A" w14:textId="2E63491D" w:rsidR="001F4290" w:rsidRPr="001F4290" w:rsidRDefault="001F4290">
      <w:pPr>
        <w:rPr>
          <w:u w:val="single"/>
        </w:rPr>
      </w:pPr>
      <w:r w:rsidRPr="001F4290">
        <w:rPr>
          <w:u w:val="single"/>
        </w:rPr>
        <w:t>CID 11530:</w:t>
      </w:r>
    </w:p>
    <w:p w14:paraId="31F8AD09" w14:textId="22FF0183" w:rsidR="001F4290" w:rsidRPr="008C3093" w:rsidRDefault="001F4290">
      <w:r>
        <w:t xml:space="preserve">Since </w:t>
      </w:r>
      <w:r w:rsidRPr="008C3093">
        <w:t xml:space="preserve">dot11HELDPCcodinginplayloadimplemented is a MIB variable, </w:t>
      </w:r>
      <w:r w:rsidR="001A4599">
        <w:t xml:space="preserve">it is local to the device and </w:t>
      </w:r>
      <w:r w:rsidRPr="008C3093">
        <w:t xml:space="preserve">the value will not be known to any other STA. Therefore, when referring to </w:t>
      </w:r>
      <w:r w:rsidR="00E24FB9" w:rsidRPr="008C3093">
        <w:t xml:space="preserve">the MIB variable in the context of the </w:t>
      </w:r>
      <w:r w:rsidRPr="008C3093">
        <w:t>transmission of a frame, it would apply to the device doing the transmission.</w:t>
      </w:r>
    </w:p>
    <w:p w14:paraId="070DF549" w14:textId="77777777" w:rsidR="00F53063" w:rsidRPr="008C3093" w:rsidRDefault="00F53063"/>
    <w:p w14:paraId="6B46EEFB" w14:textId="3A565E14" w:rsidR="001F4290" w:rsidRPr="008C3093" w:rsidRDefault="001F4290">
      <w:r w:rsidRPr="008C3093">
        <w:t>Text modification is proposed below to clarify this.</w:t>
      </w:r>
    </w:p>
    <w:p w14:paraId="1E640A32" w14:textId="7EE7ED56" w:rsidR="001F4290" w:rsidRDefault="001F4290">
      <w:pPr>
        <w:rPr>
          <w:rFonts w:ascii="Arial" w:hAnsi="Arial" w:cs="Arial"/>
          <w:sz w:val="20"/>
          <w:lang w:val="en-US"/>
        </w:rPr>
      </w:pPr>
    </w:p>
    <w:p w14:paraId="2288FFE5" w14:textId="00E9A46A" w:rsidR="001F4290" w:rsidRPr="001F4290" w:rsidRDefault="001F4290">
      <w:pPr>
        <w:rPr>
          <w:rFonts w:ascii="Arial" w:hAnsi="Arial" w:cs="Arial"/>
          <w:sz w:val="20"/>
          <w:u w:val="single"/>
          <w:lang w:val="en-US"/>
        </w:rPr>
      </w:pPr>
      <w:r w:rsidRPr="001F4290">
        <w:rPr>
          <w:rFonts w:ascii="Arial" w:hAnsi="Arial" w:cs="Arial"/>
          <w:sz w:val="20"/>
          <w:u w:val="single"/>
          <w:lang w:val="en-US"/>
        </w:rPr>
        <w:t>CID 11850:</w:t>
      </w:r>
    </w:p>
    <w:p w14:paraId="10EE36F6" w14:textId="6D6CF18F" w:rsidR="001F4290" w:rsidRDefault="001F4290" w:rsidP="001F4290">
      <w:r>
        <w:t xml:space="preserve">802.11be specifies the following </w:t>
      </w:r>
      <w:proofErr w:type="spellStart"/>
      <w:r>
        <w:t>w.r.t.</w:t>
      </w:r>
      <w:proofErr w:type="spellEnd"/>
      <w:r>
        <w:t xml:space="preserve"> support of LDPC (see D2.1, Clause 36.1.1, page 554, line 23): </w:t>
      </w:r>
    </w:p>
    <w:p w14:paraId="602FAC2C" w14:textId="7FDF916D" w:rsidR="001F4290" w:rsidRDefault="001F4290" w:rsidP="001F4290"/>
    <w:p w14:paraId="3EDAF371" w14:textId="0ECBC6F8" w:rsidR="00370723" w:rsidRDefault="00370723" w:rsidP="001F4290">
      <w:pPr>
        <w:rPr>
          <w:sz w:val="20"/>
        </w:rPr>
      </w:pPr>
      <w:r>
        <w:rPr>
          <w:sz w:val="20"/>
        </w:rPr>
        <w:t>An EHT STA shall support the following features:</w:t>
      </w:r>
    </w:p>
    <w:p w14:paraId="3A9CCE6B" w14:textId="5AF29989" w:rsidR="00370723" w:rsidRDefault="00370723" w:rsidP="00370723">
      <w:pPr>
        <w:ind w:firstLine="720"/>
      </w:pPr>
      <w:r>
        <w:rPr>
          <w:sz w:val="20"/>
        </w:rPr>
        <w:t>(…)</w:t>
      </w:r>
    </w:p>
    <w:p w14:paraId="607B49C9" w14:textId="77777777" w:rsidR="001F4290" w:rsidRPr="001F4290" w:rsidRDefault="001F4290" w:rsidP="001F4290">
      <w:pPr>
        <w:pStyle w:val="ListParagraph"/>
        <w:numPr>
          <w:ilvl w:val="0"/>
          <w:numId w:val="2"/>
        </w:numPr>
      </w:pPr>
      <w:r w:rsidRPr="001F4290">
        <w:rPr>
          <w:sz w:val="20"/>
        </w:rPr>
        <w:t xml:space="preserve">LDPC coding (transmit and receive) in all supported EHT PPDU types, RU and MRU sizes, and number of spatial streams </w:t>
      </w:r>
      <w:r w:rsidRPr="00370723">
        <w:rPr>
          <w:sz w:val="20"/>
          <w:u w:val="single"/>
        </w:rPr>
        <w:t>if</w:t>
      </w:r>
      <w:r w:rsidRPr="001F4290">
        <w:rPr>
          <w:sz w:val="20"/>
        </w:rPr>
        <w:t xml:space="preserve"> a STA satisfies any of the following conditions:</w:t>
      </w:r>
    </w:p>
    <w:p w14:paraId="7411A17B" w14:textId="7B026B5D" w:rsidR="001F4290" w:rsidRPr="001F4290" w:rsidRDefault="001F4290" w:rsidP="001F4290">
      <w:pPr>
        <w:pStyle w:val="ListParagraph"/>
        <w:numPr>
          <w:ilvl w:val="1"/>
          <w:numId w:val="2"/>
        </w:numPr>
      </w:pPr>
      <w:r w:rsidRPr="001F4290">
        <w:rPr>
          <w:sz w:val="20"/>
        </w:rPr>
        <w:t xml:space="preserve">The STA declares support of transmission and reception in channel bandwidths greater than 20 </w:t>
      </w:r>
      <w:proofErr w:type="spellStart"/>
      <w:r w:rsidRPr="001F4290">
        <w:rPr>
          <w:sz w:val="20"/>
        </w:rPr>
        <w:t>MHz.</w:t>
      </w:r>
      <w:proofErr w:type="spellEnd"/>
    </w:p>
    <w:p w14:paraId="2081F024" w14:textId="77777777" w:rsidR="001F4290" w:rsidRPr="001F4290" w:rsidRDefault="001F4290" w:rsidP="001F4290">
      <w:pPr>
        <w:pStyle w:val="ListParagraph"/>
        <w:numPr>
          <w:ilvl w:val="1"/>
          <w:numId w:val="2"/>
        </w:numPr>
      </w:pPr>
      <w:r w:rsidRPr="001F4290">
        <w:rPr>
          <w:sz w:val="20"/>
        </w:rPr>
        <w:t>The STA declares support for transmitting or receiving more than 4 spatial streams.</w:t>
      </w:r>
    </w:p>
    <w:p w14:paraId="63C4F746" w14:textId="63ADE047" w:rsidR="001F4290" w:rsidRDefault="001F4290" w:rsidP="001F4290">
      <w:pPr>
        <w:pStyle w:val="ListParagraph"/>
        <w:numPr>
          <w:ilvl w:val="1"/>
          <w:numId w:val="2"/>
        </w:numPr>
      </w:pPr>
      <w:r w:rsidRPr="001F4290">
        <w:rPr>
          <w:sz w:val="20"/>
        </w:rPr>
        <w:t xml:space="preserve">The STA declares support for at least one of EHT-MCSs 10, 11, 12, </w:t>
      </w:r>
      <w:r w:rsidRPr="001F4290">
        <w:rPr>
          <w:color w:val="208A20"/>
          <w:sz w:val="20"/>
        </w:rPr>
        <w:t>(#12528)</w:t>
      </w:r>
      <w:r w:rsidRPr="001F4290">
        <w:rPr>
          <w:sz w:val="20"/>
        </w:rPr>
        <w:t>13, and 14 (trans-</w:t>
      </w:r>
      <w:proofErr w:type="spellStart"/>
      <w:r w:rsidRPr="001F4290">
        <w:rPr>
          <w:sz w:val="20"/>
        </w:rPr>
        <w:t>mit</w:t>
      </w:r>
      <w:proofErr w:type="spellEnd"/>
      <w:r w:rsidRPr="001F4290">
        <w:rPr>
          <w:sz w:val="20"/>
        </w:rPr>
        <w:t xml:space="preserve"> and receive).</w:t>
      </w:r>
    </w:p>
    <w:p w14:paraId="1DBF2C26" w14:textId="283A5611" w:rsidR="001F4290" w:rsidRDefault="001F4290" w:rsidP="001F4290"/>
    <w:p w14:paraId="610481D9" w14:textId="26DDB6B6" w:rsidR="001F4290" w:rsidRDefault="001F4290" w:rsidP="001F4290">
      <w:r>
        <w:t>This means LDPC is still optional i</w:t>
      </w:r>
      <w:r w:rsidR="00370723">
        <w:t>f</w:t>
      </w:r>
      <w:r>
        <w:t xml:space="preserve"> none of these conditions are true, which could happen for a 20 MHz-only STA supporting</w:t>
      </w:r>
      <w:r w:rsidRPr="001F4290">
        <w:t xml:space="preserve"> less than or equal to 4</w:t>
      </w:r>
      <w:r>
        <w:t xml:space="preserve"> SS and not supporting</w:t>
      </w:r>
      <w:r w:rsidRPr="001F4290">
        <w:t xml:space="preserve"> EHT MCS 10, 11, 12 or 13</w:t>
      </w:r>
      <w:r>
        <w:t>.</w:t>
      </w:r>
    </w:p>
    <w:p w14:paraId="22B73B90" w14:textId="6A74B5D0" w:rsidR="00370723" w:rsidRDefault="00370723" w:rsidP="001F4290"/>
    <w:p w14:paraId="7FC6E866" w14:textId="279102C5" w:rsidR="001F4290" w:rsidRDefault="00370723" w:rsidP="00370723">
      <w:r>
        <w:t xml:space="preserve">This is </w:t>
      </w:r>
      <w:r w:rsidR="00F53063">
        <w:t>also</w:t>
      </w:r>
      <w:r>
        <w:t xml:space="preserve"> stated </w:t>
      </w:r>
      <w:r w:rsidR="00F53063">
        <w:t xml:space="preserve">separately </w:t>
      </w:r>
      <w:r>
        <w:t>in 36.3.13.3.3:</w:t>
      </w:r>
    </w:p>
    <w:p w14:paraId="0123F8F7" w14:textId="77777777" w:rsidR="00E833E9" w:rsidRDefault="00E833E9" w:rsidP="00370723"/>
    <w:p w14:paraId="37FA35C8" w14:textId="7D27DC88" w:rsidR="00370723" w:rsidRDefault="00370723" w:rsidP="00370723">
      <w:r>
        <w:rPr>
          <w:noProof/>
        </w:rPr>
        <w:drawing>
          <wp:inline distT="0" distB="0" distL="0" distR="0" wp14:anchorId="7D4439E6" wp14:editId="1CE8CB3B">
            <wp:extent cx="5943600" cy="44697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C6C0" w14:textId="4622C992" w:rsidR="001F4290" w:rsidRDefault="001F4290"/>
    <w:p w14:paraId="3F9BCBB8" w14:textId="4ACFBA1E" w:rsidR="00BA2D0B" w:rsidRDefault="00BA2D0B">
      <w:r>
        <w:t>No action needed.</w:t>
      </w:r>
    </w:p>
    <w:p w14:paraId="63FE144C" w14:textId="7BB4B55B" w:rsidR="00A022D8" w:rsidRDefault="00A022D8" w:rsidP="00A022D8">
      <w:pPr>
        <w:pStyle w:val="Heading1"/>
      </w:pPr>
      <w:r>
        <w:t>Proposed text changes</w:t>
      </w:r>
    </w:p>
    <w:p w14:paraId="5E9E5726" w14:textId="73A7B592" w:rsidR="00A022D8" w:rsidRDefault="00A022D8"/>
    <w:p w14:paraId="6A79E3D3" w14:textId="77777777" w:rsidR="00A022D8" w:rsidRPr="00A022D8" w:rsidRDefault="00A022D8" w:rsidP="00A022D8">
      <w:pPr>
        <w:rPr>
          <w:b/>
          <w:bCs/>
          <w:sz w:val="24"/>
          <w:szCs w:val="22"/>
        </w:rPr>
      </w:pPr>
      <w:r w:rsidRPr="00A022D8">
        <w:rPr>
          <w:b/>
          <w:bCs/>
          <w:sz w:val="24"/>
          <w:szCs w:val="22"/>
        </w:rPr>
        <w:t>10.15 Low-density parity check code (LDPC) operation</w:t>
      </w:r>
    </w:p>
    <w:p w14:paraId="173627FD" w14:textId="77777777" w:rsidR="00A022D8" w:rsidRDefault="00A022D8" w:rsidP="00A022D8"/>
    <w:p w14:paraId="61261421" w14:textId="6B222018" w:rsidR="00A022D8" w:rsidRPr="00A022D8" w:rsidRDefault="00A022D8" w:rsidP="00A022D8">
      <w:pPr>
        <w:rPr>
          <w:b/>
          <w:bCs/>
          <w:i/>
          <w:iCs/>
        </w:rPr>
      </w:pPr>
      <w:r w:rsidRPr="00A022D8">
        <w:rPr>
          <w:b/>
          <w:bCs/>
          <w:i/>
          <w:iCs/>
        </w:rPr>
        <w:t>Insert the following paragraph at the end of the subclause:</w:t>
      </w:r>
    </w:p>
    <w:p w14:paraId="515ADEC0" w14:textId="77777777" w:rsidR="00A022D8" w:rsidRDefault="00A022D8" w:rsidP="00A022D8"/>
    <w:p w14:paraId="5320447D" w14:textId="0E328667" w:rsidR="00A022D8" w:rsidRDefault="00A022D8" w:rsidP="00A022D8">
      <w:pPr>
        <w:rPr>
          <w:color w:val="FF0000"/>
          <w:u w:val="single"/>
        </w:rPr>
      </w:pPr>
      <w:r>
        <w:t xml:space="preserve">An EHT STA shall not transmit a frame in an EHT PPDU with TXVECTOR parameter FEC_CODING set to LDPC_CODING </w:t>
      </w:r>
      <w:r w:rsidRPr="00A022D8">
        <w:rPr>
          <w:strike/>
          <w:color w:val="FF0000"/>
        </w:rPr>
        <w:t>unless the frame</w:t>
      </w:r>
      <w:r w:rsidRPr="00A022D8">
        <w:rPr>
          <w:color w:val="FF0000"/>
        </w:rPr>
        <w:t xml:space="preserve"> </w:t>
      </w:r>
      <w:r w:rsidRPr="00A022D8">
        <w:rPr>
          <w:color w:val="FF0000"/>
          <w:u w:val="single"/>
        </w:rPr>
        <w:t xml:space="preserve">unless </w:t>
      </w:r>
      <w:r w:rsidR="008F74F2">
        <w:rPr>
          <w:color w:val="FF0000"/>
          <w:u w:val="single"/>
        </w:rPr>
        <w:t xml:space="preserve">all </w:t>
      </w:r>
      <w:r w:rsidRPr="00A022D8">
        <w:rPr>
          <w:color w:val="FF0000"/>
          <w:u w:val="single"/>
        </w:rPr>
        <w:t>the following conditions are met:</w:t>
      </w:r>
    </w:p>
    <w:p w14:paraId="7271F648" w14:textId="3C3F0DED" w:rsidR="00A022D8" w:rsidRPr="00A022D8" w:rsidRDefault="00A022D8" w:rsidP="00A022D8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A022D8">
        <w:rPr>
          <w:color w:val="FF0000"/>
          <w:u w:val="single"/>
        </w:rPr>
        <w:t>The value of dot11HELDPCCodingInPayloadImplemented for the EHT STA is true</w:t>
      </w:r>
    </w:p>
    <w:p w14:paraId="5A060D58" w14:textId="4BE2C8CE" w:rsidR="00A022D8" w:rsidRPr="00A022D8" w:rsidRDefault="00A022D8" w:rsidP="00A022D8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A022D8">
        <w:rPr>
          <w:color w:val="FF0000"/>
          <w:u w:val="single"/>
        </w:rPr>
        <w:t xml:space="preserve">The frame is addressed to an EHT STA for which the LDPC Coding </w:t>
      </w:r>
      <w:proofErr w:type="gramStart"/>
      <w:r w:rsidRPr="00A022D8">
        <w:rPr>
          <w:color w:val="FF0000"/>
          <w:u w:val="single"/>
        </w:rPr>
        <w:t>In</w:t>
      </w:r>
      <w:proofErr w:type="gramEnd"/>
      <w:r w:rsidRPr="00A022D8">
        <w:rPr>
          <w:color w:val="FF0000"/>
          <w:u w:val="single"/>
        </w:rPr>
        <w:t xml:space="preserve"> Payload subfield in the HE Capabilities element received from that STA contained a value of 1</w:t>
      </w:r>
    </w:p>
    <w:p w14:paraId="03EDA491" w14:textId="15D2AE1E" w:rsidR="00A022D8" w:rsidRPr="00A022D8" w:rsidRDefault="00A022D8" w:rsidP="00A022D8">
      <w:pPr>
        <w:rPr>
          <w:strike/>
          <w:color w:val="FF0000"/>
        </w:rPr>
      </w:pPr>
      <w:r w:rsidRPr="00A022D8">
        <w:rPr>
          <w:strike/>
          <w:color w:val="FF0000"/>
        </w:rPr>
        <w:t xml:space="preserve"> is addressed to an EHT STA for which the LDPC Coding </w:t>
      </w:r>
      <w:proofErr w:type="gramStart"/>
      <w:r w:rsidRPr="00A022D8">
        <w:rPr>
          <w:strike/>
          <w:color w:val="FF0000"/>
        </w:rPr>
        <w:t>In</w:t>
      </w:r>
      <w:proofErr w:type="gramEnd"/>
      <w:r w:rsidRPr="00A022D8">
        <w:rPr>
          <w:strike/>
          <w:color w:val="FF0000"/>
        </w:rPr>
        <w:t xml:space="preserve"> Payload subfield in the HE Capabilities element received from that STA contained a value of 1 and dot11HELDPCCodingInPayloadImplemented is true.</w:t>
      </w:r>
    </w:p>
    <w:sectPr w:rsidR="00A022D8" w:rsidRPr="00A022D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4A8A" w14:textId="77777777" w:rsidR="009A4B1B" w:rsidRDefault="009A4B1B">
      <w:r>
        <w:separator/>
      </w:r>
    </w:p>
  </w:endnote>
  <w:endnote w:type="continuationSeparator" w:id="0">
    <w:p w14:paraId="3FCED527" w14:textId="77777777" w:rsidR="009A4B1B" w:rsidRDefault="009A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56E0" w14:textId="504D46E6" w:rsidR="0029020B" w:rsidRDefault="009A4B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022D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sdt>
      <w:sdtPr>
        <w:alias w:val="Author"/>
        <w:tag w:val=""/>
        <w:id w:val="1953981966"/>
        <w:placeholder>
          <w:docPart w:val="DC49F12852C0453FBF45C5926547E4A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72628">
          <w:t>Sigurd Schelstraete</w:t>
        </w:r>
      </w:sdtContent>
    </w:sdt>
    <w:r w:rsidR="00872628">
      <w:t xml:space="preserve">, </w:t>
    </w:r>
    <w:sdt>
      <w:sdtPr>
        <w:alias w:val="Company"/>
        <w:tag w:val=""/>
        <w:id w:val="-875541655"/>
        <w:placeholder>
          <w:docPart w:val="82BF6C4445B94BBD8291987EACA5D78E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671BF">
          <w:t>MaxLinear</w:t>
        </w:r>
      </w:sdtContent>
    </w:sdt>
  </w:p>
  <w:p w14:paraId="07B8A40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5489" w14:textId="77777777" w:rsidR="009A4B1B" w:rsidRDefault="009A4B1B">
      <w:r>
        <w:separator/>
      </w:r>
    </w:p>
  </w:footnote>
  <w:footnote w:type="continuationSeparator" w:id="0">
    <w:p w14:paraId="05C6D324" w14:textId="77777777" w:rsidR="009A4B1B" w:rsidRDefault="009A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5B8D" w14:textId="3D649B3C" w:rsidR="0029020B" w:rsidRDefault="009A4B1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2E25">
      <w:t>August</w:t>
    </w:r>
    <w:r w:rsidR="00A022D8">
      <w:t xml:space="preserve"> </w:t>
    </w:r>
    <w:r w:rsidR="00950171">
      <w:t>2022</w:t>
    </w:r>
    <w:r>
      <w:fldChar w:fldCharType="end"/>
    </w:r>
    <w:r w:rsidR="0029020B">
      <w:tab/>
    </w:r>
    <w:r w:rsidR="0029020B">
      <w:tab/>
    </w:r>
    <w:sdt>
      <w:sdtPr>
        <w:alias w:val="Title"/>
        <w:tag w:val=""/>
        <w:id w:val="-1135567873"/>
        <w:placeholder>
          <w:docPart w:val="289D221055304884AA861C723868E9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2FDF">
          <w:t>802.11-22/1391r1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ED9"/>
    <w:multiLevelType w:val="hybridMultilevel"/>
    <w:tmpl w:val="C4381CC6"/>
    <w:lvl w:ilvl="0" w:tplc="E64C77A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71DFC"/>
    <w:multiLevelType w:val="hybridMultilevel"/>
    <w:tmpl w:val="EC48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E12B2"/>
    <w:multiLevelType w:val="hybridMultilevel"/>
    <w:tmpl w:val="53540FEC"/>
    <w:lvl w:ilvl="0" w:tplc="AA6ED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D8"/>
    <w:rsid w:val="000636A8"/>
    <w:rsid w:val="00071A8A"/>
    <w:rsid w:val="001A2C5F"/>
    <w:rsid w:val="001A4599"/>
    <w:rsid w:val="001D723B"/>
    <w:rsid w:val="001F4290"/>
    <w:rsid w:val="0029020B"/>
    <w:rsid w:val="002D44BE"/>
    <w:rsid w:val="00370723"/>
    <w:rsid w:val="0038316A"/>
    <w:rsid w:val="0043592E"/>
    <w:rsid w:val="00442037"/>
    <w:rsid w:val="0047730C"/>
    <w:rsid w:val="004B064B"/>
    <w:rsid w:val="005D07DB"/>
    <w:rsid w:val="0062440B"/>
    <w:rsid w:val="006C0727"/>
    <w:rsid w:val="006E145F"/>
    <w:rsid w:val="00770572"/>
    <w:rsid w:val="00825003"/>
    <w:rsid w:val="00827B15"/>
    <w:rsid w:val="00872628"/>
    <w:rsid w:val="00872FDF"/>
    <w:rsid w:val="008C3093"/>
    <w:rsid w:val="008E2E25"/>
    <w:rsid w:val="008F74F2"/>
    <w:rsid w:val="00950171"/>
    <w:rsid w:val="009A4B1B"/>
    <w:rsid w:val="009F2FBC"/>
    <w:rsid w:val="00A022D8"/>
    <w:rsid w:val="00AA427C"/>
    <w:rsid w:val="00AF5173"/>
    <w:rsid w:val="00B363FC"/>
    <w:rsid w:val="00BA2D0B"/>
    <w:rsid w:val="00BC3926"/>
    <w:rsid w:val="00BE1174"/>
    <w:rsid w:val="00BE68C2"/>
    <w:rsid w:val="00C650C0"/>
    <w:rsid w:val="00C671BF"/>
    <w:rsid w:val="00CA09B2"/>
    <w:rsid w:val="00CD5118"/>
    <w:rsid w:val="00DC5A7B"/>
    <w:rsid w:val="00E24FB9"/>
    <w:rsid w:val="00E36124"/>
    <w:rsid w:val="00E775DA"/>
    <w:rsid w:val="00E833E9"/>
    <w:rsid w:val="00F34E62"/>
    <w:rsid w:val="00F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8A7F8"/>
  <w15:chartTrackingRefBased/>
  <w15:docId w15:val="{F18144F9-92F4-4258-A51B-BCB47C94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2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5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09363504564FBAAF6322EAAA43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5188-3F3F-4794-8878-14749E7ED8B3}"/>
      </w:docPartPr>
      <w:docPartBody>
        <w:p w:rsidR="004662C5" w:rsidRDefault="002D6254">
          <w:r w:rsidRPr="00341F85">
            <w:rPr>
              <w:rStyle w:val="PlaceholderText"/>
            </w:rPr>
            <w:t>[Title]</w:t>
          </w:r>
        </w:p>
      </w:docPartBody>
    </w:docPart>
    <w:docPart>
      <w:docPartPr>
        <w:name w:val="289D221055304884AA861C723868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D4FD1-B561-4C1A-B0C0-A24AF61E4AA7}"/>
      </w:docPartPr>
      <w:docPartBody>
        <w:p w:rsidR="004662C5" w:rsidRDefault="002D6254">
          <w:r w:rsidRPr="00341F85">
            <w:rPr>
              <w:rStyle w:val="PlaceholderText"/>
            </w:rPr>
            <w:t>[Title]</w:t>
          </w:r>
        </w:p>
      </w:docPartBody>
    </w:docPart>
    <w:docPart>
      <w:docPartPr>
        <w:name w:val="DC49F12852C0453FBF45C5926547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04F6-7D43-46D1-87E0-1D643374A004}"/>
      </w:docPartPr>
      <w:docPartBody>
        <w:p w:rsidR="004662C5" w:rsidRDefault="002D6254">
          <w:r w:rsidRPr="00341F85">
            <w:rPr>
              <w:rStyle w:val="PlaceholderText"/>
            </w:rPr>
            <w:t>[Author]</w:t>
          </w:r>
        </w:p>
      </w:docPartBody>
    </w:docPart>
    <w:docPart>
      <w:docPartPr>
        <w:name w:val="82BF6C4445B94BBD8291987EACA5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FCC1-F331-42FA-B5E3-E3BF6B4B4894}"/>
      </w:docPartPr>
      <w:docPartBody>
        <w:p w:rsidR="004662C5" w:rsidRDefault="002D6254">
          <w:r w:rsidRPr="00341F85">
            <w:rPr>
              <w:rStyle w:val="PlaceholderText"/>
            </w:rPr>
            <w:t>[Company]</w:t>
          </w:r>
        </w:p>
      </w:docPartBody>
    </w:docPart>
    <w:docPart>
      <w:docPartPr>
        <w:name w:val="AA56B1E303E548FB830A1C1D9D8A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D3D8-09F1-4C49-8DA0-A1BDE350D140}"/>
      </w:docPartPr>
      <w:docPartBody>
        <w:p w:rsidR="007A0D3E" w:rsidRDefault="004662C5">
          <w:r w:rsidRPr="00146A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54"/>
    <w:rsid w:val="002D6254"/>
    <w:rsid w:val="003C20D7"/>
    <w:rsid w:val="004662C5"/>
    <w:rsid w:val="007A0D3E"/>
    <w:rsid w:val="007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2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802.11-22/1391r0</vt:lpstr>
    </vt:vector>
  </TitlesOfParts>
  <Company>MaxLinear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802.11-22/1391r1</dc:title>
  <dc:subject>Submission</dc:subject>
  <dc:creator>Sigurd Schelstraete</dc:creator>
  <cp:keywords>Month Year</cp:keywords>
  <dc:description/>
  <cp:lastModifiedBy>Sigurd Schelstraete</cp:lastModifiedBy>
  <cp:revision>3</cp:revision>
  <cp:lastPrinted>1900-01-01T08:00:00Z</cp:lastPrinted>
  <dcterms:created xsi:type="dcterms:W3CDTF">2022-08-30T00:44:00Z</dcterms:created>
  <dcterms:modified xsi:type="dcterms:W3CDTF">2022-08-30T00:44:00Z</dcterms:modified>
</cp:coreProperties>
</file>