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C20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90"/>
        <w:gridCol w:w="1629"/>
        <w:gridCol w:w="801"/>
        <w:gridCol w:w="2561"/>
      </w:tblGrid>
      <w:tr w:rsidR="00E152B5" w14:paraId="5A5358E1" w14:textId="77777777" w:rsidTr="00C647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488ACA1" w14:textId="4C331FC9" w:rsidR="00E152B5" w:rsidRDefault="000435DA" w:rsidP="00C64710">
            <w:pPr>
              <w:pStyle w:val="T2"/>
            </w:pPr>
            <w:r>
              <w:t xml:space="preserve">LB266 </w:t>
            </w:r>
            <w:r w:rsidR="00E152B5">
              <w:t>Annex B CIDs</w:t>
            </w:r>
          </w:p>
        </w:tc>
      </w:tr>
      <w:tr w:rsidR="00E152B5" w14:paraId="024BE9CD" w14:textId="77777777" w:rsidTr="00C647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859903" w14:textId="77777777" w:rsidR="00E152B5" w:rsidRDefault="00E152B5" w:rsidP="00C647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2022-08-23</w:t>
            </w:r>
          </w:p>
        </w:tc>
      </w:tr>
      <w:tr w:rsidR="00E152B5" w14:paraId="1AA91544" w14:textId="77777777" w:rsidTr="00C647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550B8E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152B5" w14:paraId="14DF2828" w14:textId="77777777" w:rsidTr="00C64710">
        <w:trPr>
          <w:jc w:val="center"/>
        </w:trPr>
        <w:tc>
          <w:tcPr>
            <w:tcW w:w="2695" w:type="dxa"/>
            <w:vAlign w:val="center"/>
          </w:tcPr>
          <w:p w14:paraId="63A1918A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4859520B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29" w:type="dxa"/>
            <w:vAlign w:val="center"/>
          </w:tcPr>
          <w:p w14:paraId="25AD53F4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1" w:type="dxa"/>
            <w:vAlign w:val="center"/>
          </w:tcPr>
          <w:p w14:paraId="057A76F5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46325B23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152B5" w14:paraId="13302639" w14:textId="77777777" w:rsidTr="00C64710">
        <w:trPr>
          <w:jc w:val="center"/>
        </w:trPr>
        <w:tc>
          <w:tcPr>
            <w:tcW w:w="2695" w:type="dxa"/>
            <w:vAlign w:val="center"/>
          </w:tcPr>
          <w:p w14:paraId="50144339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890" w:type="dxa"/>
            <w:vAlign w:val="center"/>
          </w:tcPr>
          <w:p w14:paraId="3463C07E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629" w:type="dxa"/>
            <w:vAlign w:val="center"/>
          </w:tcPr>
          <w:p w14:paraId="71DC72FE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347695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4B5F2CB" w14:textId="77777777" w:rsidR="00E152B5" w:rsidRDefault="00E152B5" w:rsidP="00C64710">
            <w:pPr>
              <w:pStyle w:val="T2"/>
              <w:spacing w:after="0"/>
              <w:ind w:left="0" w:right="0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E152B5" w14:paraId="5A037A54" w14:textId="77777777" w:rsidTr="00C64710">
        <w:trPr>
          <w:jc w:val="center"/>
        </w:trPr>
        <w:tc>
          <w:tcPr>
            <w:tcW w:w="2695" w:type="dxa"/>
            <w:vAlign w:val="center"/>
          </w:tcPr>
          <w:p w14:paraId="39370F55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053F351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7FAA302E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F075909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7EF7FB8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9FC2A5D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D2077C" wp14:editId="5C75FE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3016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46BFEF" w14:textId="77777777" w:rsidR="00495F0A" w:rsidRDefault="00495F0A" w:rsidP="00495F0A">
                            <w:pPr>
                              <w:jc w:val="both"/>
                            </w:pPr>
                            <w:r>
                              <w:t>This submission proposes resolutions for the following CIDs:</w:t>
                            </w:r>
                          </w:p>
                          <w:p w14:paraId="313DFD1B" w14:textId="0F7015F9" w:rsidR="00495F0A" w:rsidRDefault="00495F0A" w:rsidP="00495F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495F0A">
                              <w:t>10391</w:t>
                            </w:r>
                            <w:r>
                              <w:t xml:space="preserve"> and </w:t>
                            </w:r>
                            <w:r w:rsidRPr="00495F0A">
                              <w:t>11226</w:t>
                            </w:r>
                          </w:p>
                          <w:p w14:paraId="08ACFE8B" w14:textId="77777777" w:rsidR="008D3672" w:rsidRDefault="008D367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20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0E3016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46BFEF" w14:textId="77777777" w:rsidR="00495F0A" w:rsidRDefault="00495F0A" w:rsidP="00495F0A">
                      <w:pPr>
                        <w:jc w:val="both"/>
                      </w:pPr>
                      <w:r>
                        <w:t>This submission proposes resolutions for the following CIDs:</w:t>
                      </w:r>
                    </w:p>
                    <w:p w14:paraId="313DFD1B" w14:textId="0F7015F9" w:rsidR="00495F0A" w:rsidRDefault="00495F0A" w:rsidP="00495F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495F0A">
                        <w:t>10391</w:t>
                      </w:r>
                      <w:r>
                        <w:t xml:space="preserve"> and </w:t>
                      </w:r>
                      <w:r w:rsidRPr="00495F0A">
                        <w:t>11226</w:t>
                      </w:r>
                    </w:p>
                    <w:p w14:paraId="08ACFE8B" w14:textId="77777777" w:rsidR="008D3672" w:rsidRDefault="008D367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6399335" w14:textId="7C085436" w:rsidR="00CA09B2" w:rsidRDefault="00CA09B2" w:rsidP="008D3672">
      <w:pPr>
        <w:rPr>
          <w:b/>
          <w:sz w:val="24"/>
        </w:rPr>
      </w:pPr>
      <w:r>
        <w:br w:type="page"/>
      </w:r>
    </w:p>
    <w:p w14:paraId="79D12DAC" w14:textId="29DA21A8" w:rsidR="00CA09B2" w:rsidRDefault="008D3672" w:rsidP="008D3672">
      <w:pPr>
        <w:pStyle w:val="Heading1"/>
      </w:pPr>
      <w:r>
        <w:lastRenderedPageBreak/>
        <w:t>CIDs</w:t>
      </w:r>
    </w:p>
    <w:p w14:paraId="3049F2DD" w14:textId="1FF6D10B" w:rsidR="001B0DD0" w:rsidRDefault="001B0DD0" w:rsidP="001B0DD0"/>
    <w:tbl>
      <w:tblPr>
        <w:tblW w:w="11380" w:type="dxa"/>
        <w:tblInd w:w="-655" w:type="dxa"/>
        <w:tblLook w:val="04A0" w:firstRow="1" w:lastRow="0" w:firstColumn="1" w:lastColumn="0" w:noHBand="0" w:noVBand="1"/>
      </w:tblPr>
      <w:tblGrid>
        <w:gridCol w:w="959"/>
        <w:gridCol w:w="965"/>
        <w:gridCol w:w="960"/>
        <w:gridCol w:w="2819"/>
        <w:gridCol w:w="2819"/>
        <w:gridCol w:w="2858"/>
      </w:tblGrid>
      <w:tr w:rsidR="001B0DD0" w:rsidRPr="001B0DD0" w14:paraId="427A8ACB" w14:textId="77777777" w:rsidTr="00307141">
        <w:trPr>
          <w:trHeight w:val="580"/>
        </w:trPr>
        <w:tc>
          <w:tcPr>
            <w:tcW w:w="95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91C331" w14:textId="77777777" w:rsidR="001B0DD0" w:rsidRPr="001B0DD0" w:rsidRDefault="001B0DD0" w:rsidP="001B0DD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B0DD0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FA04AC" w14:textId="77777777" w:rsidR="001B0DD0" w:rsidRPr="001B0DD0" w:rsidRDefault="001B0DD0" w:rsidP="001B0DD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B0DD0">
              <w:rPr>
                <w:rFonts w:ascii="Calibri" w:hAnsi="Calibri" w:cs="Calibri"/>
                <w:b/>
                <w:bCs/>
                <w:szCs w:val="22"/>
                <w:lang w:val="en-US"/>
              </w:rPr>
              <w:t>Clause Number</w:t>
            </w:r>
          </w:p>
        </w:tc>
        <w:tc>
          <w:tcPr>
            <w:tcW w:w="9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91F41B" w14:textId="77777777" w:rsidR="001B0DD0" w:rsidRPr="001B0DD0" w:rsidRDefault="001B0DD0" w:rsidP="001B0DD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B0DD0">
              <w:rPr>
                <w:rFonts w:ascii="Calibri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8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4E7D6F" w14:textId="77777777" w:rsidR="001B0DD0" w:rsidRPr="001B0DD0" w:rsidRDefault="001B0DD0" w:rsidP="001B0DD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B0DD0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8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2EEC0E" w14:textId="77777777" w:rsidR="001B0DD0" w:rsidRPr="001B0DD0" w:rsidRDefault="001B0DD0" w:rsidP="001B0DD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B0DD0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8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22C209" w14:textId="77777777" w:rsidR="001B0DD0" w:rsidRPr="001B0DD0" w:rsidRDefault="001B0DD0" w:rsidP="001B0DD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B0DD0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Resolution</w:t>
            </w:r>
          </w:p>
        </w:tc>
      </w:tr>
      <w:tr w:rsidR="001B0DD0" w:rsidRPr="001B0DD0" w14:paraId="70017D4A" w14:textId="77777777" w:rsidTr="00307141">
        <w:trPr>
          <w:trHeight w:val="500"/>
        </w:trPr>
        <w:tc>
          <w:tcPr>
            <w:tcW w:w="95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2B5812" w14:textId="77777777" w:rsidR="001B0DD0" w:rsidRPr="00BC3A24" w:rsidRDefault="001B0DD0" w:rsidP="001B0DD0">
            <w:pPr>
              <w:jc w:val="right"/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10391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DEB1F0" w14:textId="77777777" w:rsidR="001B0DD0" w:rsidRPr="00BC3A24" w:rsidRDefault="001B0DD0" w:rsidP="001B0DD0">
            <w:pPr>
              <w:rPr>
                <w:szCs w:val="22"/>
                <w:lang w:val="en-US"/>
              </w:rPr>
            </w:pPr>
            <w:proofErr w:type="spellStart"/>
            <w:r w:rsidRPr="00BC3A24">
              <w:rPr>
                <w:szCs w:val="22"/>
                <w:lang w:val="en-US"/>
              </w:rPr>
              <w:t>AnnexB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D005C" w14:textId="77777777" w:rsidR="001B0DD0" w:rsidRPr="00BC3A24" w:rsidRDefault="001B0DD0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811.60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3776E" w14:textId="77777777" w:rsidR="001B0DD0" w:rsidRPr="00BC3A24" w:rsidRDefault="001B0DD0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should be "... tone RU" instead of "... tone-RU"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697EAB" w14:textId="77777777" w:rsidR="001B0DD0" w:rsidRPr="00BC3A24" w:rsidRDefault="001B0DD0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Change "... tone-RU" into "... tone RU"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2D3970" w14:textId="62FEA9FE" w:rsidR="001B0DD0" w:rsidRPr="00BC3A24" w:rsidRDefault="00BB2477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Accepted</w:t>
            </w:r>
          </w:p>
        </w:tc>
      </w:tr>
      <w:tr w:rsidR="001B0DD0" w:rsidRPr="001B0DD0" w14:paraId="2E37FB8A" w14:textId="77777777" w:rsidTr="00307141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30668A" w14:textId="77777777" w:rsidR="001B0DD0" w:rsidRPr="00BC3A24" w:rsidRDefault="001B0DD0" w:rsidP="001B0DD0">
            <w:pPr>
              <w:jc w:val="right"/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11226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DA69EA" w14:textId="77777777" w:rsidR="001B0DD0" w:rsidRPr="00BC3A24" w:rsidRDefault="001B0DD0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B.4.3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1E0F2D" w14:textId="77777777" w:rsidR="001B0DD0" w:rsidRPr="00BC3A24" w:rsidRDefault="001B0DD0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805.49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38EAAB" w14:textId="77777777" w:rsidR="001B0DD0" w:rsidRPr="00BC3A24" w:rsidRDefault="001B0DD0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80 MHz support is not required for 2.4 GHz.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8F7A3C" w14:textId="77777777" w:rsidR="001B0DD0" w:rsidRPr="00BC3A24" w:rsidRDefault="001B0DD0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Make CFEHT80 be conditional mandatory on CFEHT5G or CFEHT6G.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94DED4" w14:textId="6CC1578E" w:rsidR="001B0DD0" w:rsidRPr="00BC3A24" w:rsidRDefault="00D70AEB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>Revised</w:t>
            </w:r>
          </w:p>
          <w:p w14:paraId="5048D7EC" w14:textId="77777777" w:rsidR="00193715" w:rsidRPr="00BC3A24" w:rsidRDefault="00193715" w:rsidP="001B0DD0">
            <w:pPr>
              <w:rPr>
                <w:szCs w:val="22"/>
                <w:lang w:val="en-US"/>
              </w:rPr>
            </w:pPr>
          </w:p>
          <w:p w14:paraId="1AB0ADDF" w14:textId="77777777" w:rsidR="00A43A30" w:rsidRPr="00BC3A24" w:rsidRDefault="00D70AEB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t xml:space="preserve">Agree </w:t>
            </w:r>
            <w:r w:rsidR="00A43A30" w:rsidRPr="00BC3A24">
              <w:rPr>
                <w:szCs w:val="22"/>
                <w:lang w:val="en-US"/>
              </w:rPr>
              <w:t xml:space="preserve">in principle </w:t>
            </w:r>
            <w:r w:rsidRPr="00BC3A24">
              <w:rPr>
                <w:szCs w:val="22"/>
                <w:lang w:val="en-US"/>
              </w:rPr>
              <w:t>with commenter</w:t>
            </w:r>
            <w:r w:rsidR="0087689D" w:rsidRPr="00BC3A24">
              <w:rPr>
                <w:szCs w:val="22"/>
                <w:lang w:val="en-US"/>
              </w:rPr>
              <w:t>.</w:t>
            </w:r>
          </w:p>
          <w:p w14:paraId="1E514104" w14:textId="043DBCDD" w:rsidR="00D70AEB" w:rsidRPr="00BC3A24" w:rsidRDefault="0087689D" w:rsidP="001B0DD0">
            <w:pPr>
              <w:rPr>
                <w:szCs w:val="22"/>
                <w:lang w:val="en-US"/>
              </w:rPr>
            </w:pPr>
            <w:r w:rsidRPr="00BC3A24">
              <w:rPr>
                <w:szCs w:val="22"/>
                <w:lang w:val="en-US"/>
              </w:rPr>
              <w:br/>
              <w:t xml:space="preserve">Editor’s instruction: apply changes as proposed in </w:t>
            </w:r>
            <w:sdt>
              <w:sdtPr>
                <w:rPr>
                  <w:szCs w:val="22"/>
                  <w:lang w:val="en-US"/>
                </w:rPr>
                <w:alias w:val="Title"/>
                <w:tag w:val=""/>
                <w:id w:val="-1937132543"/>
                <w:placeholder>
                  <w:docPart w:val="08FF016FDCDD4DA39823B6B5F143C4D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A157B">
                  <w:rPr>
                    <w:szCs w:val="22"/>
                    <w:lang w:val="en-US"/>
                  </w:rPr>
                  <w:t>802.11-22/1390r0</w:t>
                </w:r>
              </w:sdtContent>
            </w:sdt>
          </w:p>
        </w:tc>
      </w:tr>
    </w:tbl>
    <w:p w14:paraId="5ABE54C8" w14:textId="1A63E618" w:rsidR="001B0DD0" w:rsidRDefault="001B0DD0" w:rsidP="001B0DD0"/>
    <w:p w14:paraId="057EEDAE" w14:textId="7170E035" w:rsidR="00307141" w:rsidRDefault="00307141" w:rsidP="001B0DD0"/>
    <w:p w14:paraId="125653B5" w14:textId="3402525F" w:rsidR="00307141" w:rsidRDefault="0099674D" w:rsidP="0099674D">
      <w:pPr>
        <w:pStyle w:val="Heading1"/>
      </w:pPr>
      <w:r>
        <w:t>Discussion</w:t>
      </w:r>
    </w:p>
    <w:p w14:paraId="581ED3C3" w14:textId="31AEC418" w:rsidR="00C47282" w:rsidRDefault="00C47282" w:rsidP="00C47282"/>
    <w:p w14:paraId="18A5A7E9" w14:textId="58979BB6" w:rsidR="00C47282" w:rsidRDefault="00C47282" w:rsidP="00C47282">
      <w:r>
        <w:t>The CIDs apply to the following places in the draft:</w:t>
      </w:r>
    </w:p>
    <w:p w14:paraId="4B3D8B21" w14:textId="130F4E0D" w:rsidR="00197F9C" w:rsidRDefault="00197F9C" w:rsidP="00C47282"/>
    <w:p w14:paraId="4D321320" w14:textId="0A7CD8D7" w:rsidR="00197F9C" w:rsidRPr="00C47282" w:rsidRDefault="00197F9C" w:rsidP="00C47282">
      <w:r w:rsidRPr="00197F9C">
        <w:t xml:space="preserve">CID </w:t>
      </w:r>
      <w:r w:rsidRPr="00197F9C">
        <w:t>10391</w:t>
      </w:r>
      <w:r w:rsidRPr="00197F9C">
        <w:t>:</w:t>
      </w:r>
    </w:p>
    <w:p w14:paraId="5EE74708" w14:textId="4ACEF5E7" w:rsidR="0099674D" w:rsidRDefault="0099674D" w:rsidP="001B0DD0"/>
    <w:p w14:paraId="00BC6DAC" w14:textId="591B25A8" w:rsidR="0099674D" w:rsidRDefault="00CE26A0" w:rsidP="001B0DD0">
      <w:r>
        <w:rPr>
          <w:noProof/>
        </w:rPr>
        <w:drawing>
          <wp:inline distT="0" distB="0" distL="0" distR="0" wp14:anchorId="1C087A27" wp14:editId="69C5820D">
            <wp:extent cx="5943600" cy="751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07E51" w14:textId="397AAC90" w:rsidR="00CE26A0" w:rsidRDefault="00CE26A0" w:rsidP="001B0DD0"/>
    <w:p w14:paraId="19910AB5" w14:textId="035F8FB3" w:rsidR="00CE26A0" w:rsidRDefault="00197F9C" w:rsidP="001B0DD0">
      <w:r>
        <w:t>This is editorial and proposed resolution is accepted.</w:t>
      </w:r>
    </w:p>
    <w:p w14:paraId="0418753C" w14:textId="395642E8" w:rsidR="00197F9C" w:rsidRDefault="00197F9C" w:rsidP="001B0DD0"/>
    <w:p w14:paraId="3D519C64" w14:textId="7EE9878F" w:rsidR="00197F9C" w:rsidRDefault="00197F9C" w:rsidP="001B0DD0"/>
    <w:p w14:paraId="600273FB" w14:textId="0818E236" w:rsidR="00197F9C" w:rsidRDefault="00197F9C" w:rsidP="001B0DD0">
      <w:r>
        <w:t xml:space="preserve">CID </w:t>
      </w:r>
      <w:r w:rsidRPr="00197F9C">
        <w:t>11226</w:t>
      </w:r>
      <w:r>
        <w:t>:</w:t>
      </w:r>
    </w:p>
    <w:p w14:paraId="038078F9" w14:textId="36D6E43D" w:rsidR="003B0E49" w:rsidRDefault="003B0E49" w:rsidP="001B0DD0">
      <w:r>
        <w:rPr>
          <w:noProof/>
        </w:rPr>
        <w:drawing>
          <wp:inline distT="0" distB="0" distL="0" distR="0" wp14:anchorId="21D146B2" wp14:editId="64702B48">
            <wp:extent cx="5943600" cy="805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DBD0" w14:textId="082F621E" w:rsidR="004E304D" w:rsidRDefault="004E304D" w:rsidP="001B0DD0"/>
    <w:p w14:paraId="1CD3D3B8" w14:textId="75CF43AF" w:rsidR="00C47282" w:rsidRDefault="00F96ED4" w:rsidP="001B0DD0">
      <w:r>
        <w:t>As currently written, this state</w:t>
      </w:r>
      <w:r w:rsidR="00BC3A24">
        <w:t>s</w:t>
      </w:r>
      <w:r>
        <w:t xml:space="preserve"> that 80 MHz is mandatory if the device is an </w:t>
      </w:r>
      <w:proofErr w:type="gramStart"/>
      <w:r>
        <w:t>AP</w:t>
      </w:r>
      <w:proofErr w:type="gramEnd"/>
      <w:r>
        <w:t xml:space="preserve"> and it supports EHT. </w:t>
      </w:r>
      <w:proofErr w:type="gramStart"/>
      <w:r>
        <w:t xml:space="preserve">In reality, </w:t>
      </w:r>
      <w:r w:rsidR="00830BC2">
        <w:t>80</w:t>
      </w:r>
      <w:proofErr w:type="gramEnd"/>
      <w:r w:rsidR="00830BC2">
        <w:t xml:space="preserve"> MHz is not required when operating in 2.4 GHz, only in 5 GHz and 6 GHz.</w:t>
      </w:r>
    </w:p>
    <w:p w14:paraId="7D8CFC8A" w14:textId="72299885" w:rsidR="00BE5B7B" w:rsidRDefault="00830BC2" w:rsidP="001B0DD0">
      <w:r>
        <w:t>To correctly capture this, the proposed resolution is to m</w:t>
      </w:r>
      <w:r w:rsidR="00BE5B7B">
        <w:t xml:space="preserve">ake the following changes to </w:t>
      </w:r>
      <w:r w:rsidR="007D0E27">
        <w:t xml:space="preserve">the Table on page </w:t>
      </w:r>
      <w:r w:rsidR="00FD3CE6">
        <w:t>817 of D2.1</w:t>
      </w:r>
      <w:r w:rsidR="007D0E27">
        <w:t xml:space="preserve">: </w:t>
      </w:r>
    </w:p>
    <w:p w14:paraId="26F99EA1" w14:textId="51474008" w:rsidR="004E304D" w:rsidRDefault="004E304D" w:rsidP="001B0DD0"/>
    <w:tbl>
      <w:tblPr>
        <w:tblStyle w:val="TableGrid"/>
        <w:tblW w:w="8460" w:type="dxa"/>
        <w:tblInd w:w="715" w:type="dxa"/>
        <w:tblLook w:val="04A0" w:firstRow="1" w:lastRow="0" w:firstColumn="1" w:lastColumn="0" w:noHBand="0" w:noVBand="1"/>
      </w:tblPr>
      <w:tblGrid>
        <w:gridCol w:w="1258"/>
        <w:gridCol w:w="2962"/>
        <w:gridCol w:w="1180"/>
        <w:gridCol w:w="1350"/>
        <w:gridCol w:w="1710"/>
      </w:tblGrid>
      <w:tr w:rsidR="00BA19E2" w:rsidRPr="001E3214" w14:paraId="6B7B9DB6" w14:textId="77777777" w:rsidTr="000837E2">
        <w:tc>
          <w:tcPr>
            <w:tcW w:w="1258" w:type="dxa"/>
          </w:tcPr>
          <w:p w14:paraId="2B401BD2" w14:textId="304CE23C" w:rsidR="00BA19E2" w:rsidRPr="001E3214" w:rsidRDefault="000C68F3" w:rsidP="001B0DD0">
            <w:pPr>
              <w:rPr>
                <w:sz w:val="18"/>
                <w:szCs w:val="16"/>
              </w:rPr>
            </w:pPr>
            <w:r w:rsidRPr="001E3214">
              <w:rPr>
                <w:sz w:val="18"/>
                <w:szCs w:val="16"/>
              </w:rPr>
              <w:t>*CFEHT80</w:t>
            </w:r>
          </w:p>
        </w:tc>
        <w:tc>
          <w:tcPr>
            <w:tcW w:w="2962" w:type="dxa"/>
          </w:tcPr>
          <w:p w14:paraId="55781537" w14:textId="076728C7" w:rsidR="00BA19E2" w:rsidRPr="001E3214" w:rsidRDefault="001E3214" w:rsidP="001B0DD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EHT operation with capability of </w:t>
            </w:r>
            <w:r w:rsidR="000837E2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80 MHz or wider channel width</w:t>
            </w:r>
          </w:p>
        </w:tc>
        <w:tc>
          <w:tcPr>
            <w:tcW w:w="1180" w:type="dxa"/>
          </w:tcPr>
          <w:p w14:paraId="7AD2B538" w14:textId="2099E888" w:rsidR="00BA19E2" w:rsidRPr="001E3214" w:rsidRDefault="000837E2" w:rsidP="001B0DD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Clause 36</w:t>
            </w:r>
          </w:p>
        </w:tc>
        <w:tc>
          <w:tcPr>
            <w:tcW w:w="1350" w:type="dxa"/>
          </w:tcPr>
          <w:p w14:paraId="0107C5F0" w14:textId="12A341A4" w:rsidR="00BA19E2" w:rsidRDefault="000837E2" w:rsidP="001B0DD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CFAP AND CFEHT</w:t>
            </w:r>
            <w:r>
              <w:rPr>
                <w:color w:val="FF0000"/>
                <w:sz w:val="18"/>
                <w:szCs w:val="16"/>
                <w:u w:val="single"/>
              </w:rPr>
              <w:t xml:space="preserve"> AND </w:t>
            </w:r>
            <w:r w:rsidR="00AD2055" w:rsidRPr="00AD2055">
              <w:rPr>
                <w:color w:val="FF0000"/>
                <w:sz w:val="18"/>
                <w:szCs w:val="16"/>
                <w:u w:val="single"/>
              </w:rPr>
              <w:t>CFEHT5G</w:t>
            </w:r>
            <w:r>
              <w:rPr>
                <w:sz w:val="18"/>
                <w:szCs w:val="16"/>
              </w:rPr>
              <w:t>: M</w:t>
            </w:r>
          </w:p>
          <w:p w14:paraId="436A5171" w14:textId="77777777" w:rsidR="00AD2055" w:rsidRDefault="00AD2055" w:rsidP="00AD2055">
            <w:pPr>
              <w:rPr>
                <w:sz w:val="18"/>
                <w:szCs w:val="16"/>
              </w:rPr>
            </w:pPr>
          </w:p>
          <w:p w14:paraId="4D563022" w14:textId="27D8736F" w:rsidR="00AD2055" w:rsidRPr="00AD2055" w:rsidRDefault="00AD2055" w:rsidP="00AD2055">
            <w:pPr>
              <w:rPr>
                <w:color w:val="FF0000"/>
                <w:sz w:val="18"/>
                <w:szCs w:val="16"/>
                <w:u w:val="single"/>
              </w:rPr>
            </w:pPr>
            <w:r w:rsidRPr="00AD2055">
              <w:rPr>
                <w:color w:val="FF0000"/>
                <w:sz w:val="18"/>
                <w:szCs w:val="16"/>
                <w:u w:val="single"/>
              </w:rPr>
              <w:t>CFAP AND CFEHT AND CFEHT</w:t>
            </w:r>
            <w:r>
              <w:rPr>
                <w:color w:val="FF0000"/>
                <w:sz w:val="18"/>
                <w:szCs w:val="16"/>
                <w:u w:val="single"/>
              </w:rPr>
              <w:t>6</w:t>
            </w:r>
            <w:r w:rsidRPr="00AD2055">
              <w:rPr>
                <w:color w:val="FF0000"/>
                <w:sz w:val="18"/>
                <w:szCs w:val="16"/>
                <w:u w:val="single"/>
              </w:rPr>
              <w:t>G: M</w:t>
            </w:r>
          </w:p>
          <w:p w14:paraId="756F63D7" w14:textId="77777777" w:rsidR="00AD2055" w:rsidRDefault="00AD2055" w:rsidP="001B0DD0">
            <w:pPr>
              <w:rPr>
                <w:sz w:val="18"/>
                <w:szCs w:val="16"/>
              </w:rPr>
            </w:pPr>
          </w:p>
          <w:p w14:paraId="007F282C" w14:textId="2AFADFFB" w:rsidR="000837E2" w:rsidRPr="001E3214" w:rsidRDefault="000837E2" w:rsidP="001B0DD0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lastRenderedPageBreak/>
              <w:t>CFIndepSTA</w:t>
            </w:r>
            <w:proofErr w:type="spellEnd"/>
            <w:r>
              <w:rPr>
                <w:sz w:val="18"/>
                <w:szCs w:val="16"/>
              </w:rPr>
              <w:t xml:space="preserve"> AND CFEHT: O.11</w:t>
            </w:r>
          </w:p>
        </w:tc>
        <w:tc>
          <w:tcPr>
            <w:tcW w:w="1710" w:type="dxa"/>
          </w:tcPr>
          <w:p w14:paraId="2934D928" w14:textId="6A9F48F8" w:rsidR="00BA19E2" w:rsidRPr="001E3214" w:rsidRDefault="000C68F3" w:rsidP="001B0DD0">
            <w:pPr>
              <w:rPr>
                <w:sz w:val="18"/>
                <w:szCs w:val="16"/>
              </w:rPr>
            </w:pPr>
            <w:r w:rsidRPr="001E3214">
              <w:rPr>
                <w:sz w:val="18"/>
                <w:szCs w:val="16"/>
              </w:rPr>
              <w:lastRenderedPageBreak/>
              <w:t xml:space="preserve">Yes </w:t>
            </w:r>
            <w:r w:rsidRPr="001E3214">
              <w:rPr>
                <w:rFonts w:ascii="Segoe UI Symbol" w:hAnsi="Segoe UI Symbol" w:cs="Segoe UI Symbol"/>
                <w:sz w:val="18"/>
                <w:szCs w:val="16"/>
              </w:rPr>
              <w:t>☐</w:t>
            </w:r>
            <w:r w:rsidRPr="001E3214">
              <w:rPr>
                <w:sz w:val="18"/>
                <w:szCs w:val="16"/>
              </w:rPr>
              <w:t xml:space="preserve"> No </w:t>
            </w:r>
            <w:r w:rsidRPr="001E3214">
              <w:rPr>
                <w:rFonts w:ascii="Segoe UI Symbol" w:hAnsi="Segoe UI Symbol" w:cs="Segoe UI Symbol"/>
                <w:sz w:val="18"/>
                <w:szCs w:val="16"/>
              </w:rPr>
              <w:t>☐</w:t>
            </w:r>
          </w:p>
        </w:tc>
      </w:tr>
    </w:tbl>
    <w:p w14:paraId="35705FEE" w14:textId="77777777" w:rsidR="004E304D" w:rsidRPr="001B0DD0" w:rsidRDefault="004E304D" w:rsidP="001B0DD0"/>
    <w:sectPr w:rsidR="004E304D" w:rsidRPr="001B0DD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4A70" w14:textId="77777777" w:rsidR="00DF2485" w:rsidRDefault="00DF2485">
      <w:r>
        <w:separator/>
      </w:r>
    </w:p>
  </w:endnote>
  <w:endnote w:type="continuationSeparator" w:id="0">
    <w:p w14:paraId="5B580F33" w14:textId="77777777" w:rsidR="00DF2485" w:rsidRDefault="00DF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9D7A" w14:textId="4E1B9F4E" w:rsidR="0029020B" w:rsidRDefault="00DF248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B247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sdt>
        <w:sdtPr>
          <w:alias w:val="Author"/>
          <w:tag w:val=""/>
          <w:id w:val="-1277866785"/>
          <w:placeholder>
            <w:docPart w:val="4CC734442C5547E8A59698EEF0148F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B2477">
            <w:t>Sigurd Schelstraete</w:t>
          </w:r>
        </w:sdtContent>
      </w:sdt>
      <w:r w:rsidR="00BB2477">
        <w:t xml:space="preserve">, </w:t>
      </w:r>
    </w:fldSimple>
    <w:sdt>
      <w:sdtPr>
        <w:alias w:val="Company"/>
        <w:tag w:val=""/>
        <w:id w:val="1670048527"/>
        <w:placeholder>
          <w:docPart w:val="291C80660A8442379DEC9119783F2E9E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BB2477">
          <w:t>MaxLinear</w:t>
        </w:r>
      </w:sdtContent>
    </w:sdt>
  </w:p>
  <w:p w14:paraId="0EE909E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F540" w14:textId="77777777" w:rsidR="00DF2485" w:rsidRDefault="00DF2485">
      <w:r>
        <w:separator/>
      </w:r>
    </w:p>
  </w:footnote>
  <w:footnote w:type="continuationSeparator" w:id="0">
    <w:p w14:paraId="63031BEB" w14:textId="77777777" w:rsidR="00DF2485" w:rsidRDefault="00DF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1E50" w14:textId="73619BC9" w:rsidR="0029020B" w:rsidRDefault="00DF248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F575F">
        <w:t>August</w:t>
      </w:r>
      <w:r w:rsidR="00E152B5">
        <w:t xml:space="preserve"> 2022</w:t>
      </w:r>
    </w:fldSimple>
    <w:r w:rsidR="0029020B">
      <w:tab/>
    </w:r>
    <w:r w:rsidR="0029020B">
      <w:tab/>
    </w:r>
    <w:r w:rsidR="00BB2477">
      <w:t xml:space="preserve">IEEE </w:t>
    </w:r>
    <w:sdt>
      <w:sdtPr>
        <w:alias w:val="Title"/>
        <w:tag w:val=""/>
        <w:id w:val="-1962796585"/>
        <w:placeholder>
          <w:docPart w:val="A415B6087520403A91C49037CA7C82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A157B">
          <w:t>802.11-22/1390r0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0ED9"/>
    <w:multiLevelType w:val="hybridMultilevel"/>
    <w:tmpl w:val="C4381CC6"/>
    <w:lvl w:ilvl="0" w:tplc="E64C77A8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2"/>
    <w:rsid w:val="000435DA"/>
    <w:rsid w:val="000837E2"/>
    <w:rsid w:val="000C68F3"/>
    <w:rsid w:val="00137576"/>
    <w:rsid w:val="00193715"/>
    <w:rsid w:val="00197F9C"/>
    <w:rsid w:val="001A2C5F"/>
    <w:rsid w:val="001B0DD0"/>
    <w:rsid w:val="001D723B"/>
    <w:rsid w:val="001E3214"/>
    <w:rsid w:val="0029020B"/>
    <w:rsid w:val="002D44BE"/>
    <w:rsid w:val="00307141"/>
    <w:rsid w:val="003B0E49"/>
    <w:rsid w:val="00442037"/>
    <w:rsid w:val="00495F0A"/>
    <w:rsid w:val="004B064B"/>
    <w:rsid w:val="004E304D"/>
    <w:rsid w:val="004F575F"/>
    <w:rsid w:val="004F5949"/>
    <w:rsid w:val="0062440B"/>
    <w:rsid w:val="006C0727"/>
    <w:rsid w:val="006E145F"/>
    <w:rsid w:val="00770572"/>
    <w:rsid w:val="007D0E27"/>
    <w:rsid w:val="00830BC2"/>
    <w:rsid w:val="008670D9"/>
    <w:rsid w:val="0087689D"/>
    <w:rsid w:val="008D3672"/>
    <w:rsid w:val="0099674D"/>
    <w:rsid w:val="009F2FBC"/>
    <w:rsid w:val="00A423DC"/>
    <w:rsid w:val="00A43A30"/>
    <w:rsid w:val="00AA427C"/>
    <w:rsid w:val="00AB1B1D"/>
    <w:rsid w:val="00AB3D1A"/>
    <w:rsid w:val="00AD2055"/>
    <w:rsid w:val="00B363FC"/>
    <w:rsid w:val="00BA19E2"/>
    <w:rsid w:val="00BB2477"/>
    <w:rsid w:val="00BC3A24"/>
    <w:rsid w:val="00BE5B7B"/>
    <w:rsid w:val="00BE68C2"/>
    <w:rsid w:val="00C47282"/>
    <w:rsid w:val="00CA09B2"/>
    <w:rsid w:val="00CA157B"/>
    <w:rsid w:val="00CE26A0"/>
    <w:rsid w:val="00D70AEB"/>
    <w:rsid w:val="00DC5A7B"/>
    <w:rsid w:val="00DF2485"/>
    <w:rsid w:val="00E152B5"/>
    <w:rsid w:val="00E459DC"/>
    <w:rsid w:val="00F96ED4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8C6C2"/>
  <w15:chartTrackingRefBased/>
  <w15:docId w15:val="{1AA3C9DA-20F1-4EEE-9703-AAC88102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A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3D1A"/>
    <w:rPr>
      <w:color w:val="808080"/>
    </w:rPr>
  </w:style>
  <w:style w:type="paragraph" w:styleId="ListParagraph">
    <w:name w:val="List Paragraph"/>
    <w:basedOn w:val="Normal"/>
    <w:uiPriority w:val="34"/>
    <w:qFormat/>
    <w:rsid w:val="0049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5B6087520403A91C49037CA7C8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F71D-59CF-4323-B307-88BD2380AA5D}"/>
      </w:docPartPr>
      <w:docPartBody>
        <w:p w:rsidR="007E2488" w:rsidRDefault="008F355C">
          <w:r w:rsidRPr="00043C56">
            <w:rPr>
              <w:rStyle w:val="PlaceholderText"/>
            </w:rPr>
            <w:t>[Title]</w:t>
          </w:r>
        </w:p>
      </w:docPartBody>
    </w:docPart>
    <w:docPart>
      <w:docPartPr>
        <w:name w:val="08FF016FDCDD4DA39823B6B5F143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9EDA-AB73-4AAF-86E8-C5530A9589A7}"/>
      </w:docPartPr>
      <w:docPartBody>
        <w:p w:rsidR="007E2488" w:rsidRDefault="008F355C">
          <w:r w:rsidRPr="00043C56">
            <w:rPr>
              <w:rStyle w:val="PlaceholderText"/>
            </w:rPr>
            <w:t>[Title]</w:t>
          </w:r>
        </w:p>
      </w:docPartBody>
    </w:docPart>
    <w:docPart>
      <w:docPartPr>
        <w:name w:val="4CC734442C5547E8A59698EEF014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1BBA-A1AE-44A4-BE0F-D34A5168A58D}"/>
      </w:docPartPr>
      <w:docPartBody>
        <w:p w:rsidR="007E2488" w:rsidRDefault="008F355C">
          <w:r w:rsidRPr="00043C56">
            <w:rPr>
              <w:rStyle w:val="PlaceholderText"/>
            </w:rPr>
            <w:t>[Author]</w:t>
          </w:r>
        </w:p>
      </w:docPartBody>
    </w:docPart>
    <w:docPart>
      <w:docPartPr>
        <w:name w:val="291C80660A8442379DEC9119783F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9CF4-ABA8-458D-9EF4-F9B5CCEDE2D0}"/>
      </w:docPartPr>
      <w:docPartBody>
        <w:p w:rsidR="007E2488" w:rsidRDefault="008F355C">
          <w:r w:rsidRPr="00043C56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5C"/>
    <w:rsid w:val="007E2488"/>
    <w:rsid w:val="008F355C"/>
    <w:rsid w:val="0093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5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5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0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802.11-22/xxxxr0</vt:lpstr>
    </vt:vector>
  </TitlesOfParts>
  <Company>MaxLinear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802.11-22/1390r0</dc:title>
  <dc:subject>Submission</dc:subject>
  <dc:creator>Sigurd Schelstraete</dc:creator>
  <cp:keywords>Month Year</cp:keywords>
  <dc:description>John Doe, Some Company</dc:description>
  <cp:lastModifiedBy>Sigurd Schelstraete</cp:lastModifiedBy>
  <cp:revision>2</cp:revision>
  <cp:lastPrinted>1900-01-01T08:00:00Z</cp:lastPrinted>
  <dcterms:created xsi:type="dcterms:W3CDTF">2022-08-26T16:37:00Z</dcterms:created>
  <dcterms:modified xsi:type="dcterms:W3CDTF">2022-08-26T16:37:00Z</dcterms:modified>
</cp:coreProperties>
</file>