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68FCD1E9"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w:t>
            </w:r>
            <w:r w:rsidR="00BF5F7F">
              <w:rPr>
                <w:b w:val="0"/>
                <w:color w:val="000000" w:themeColor="text1"/>
              </w:rPr>
              <w:t xml:space="preserve"> </w:t>
            </w:r>
            <w:r w:rsidR="00AF2E09">
              <w:rPr>
                <w:b w:val="0"/>
                <w:color w:val="000000" w:themeColor="text1"/>
              </w:rPr>
              <w:t>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686694A9"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1689C">
              <w:rPr>
                <w:b w:val="0"/>
                <w:color w:val="000000" w:themeColor="text1"/>
                <w:sz w:val="20"/>
              </w:rPr>
              <w:t>Nov</w:t>
            </w:r>
            <w:r w:rsidR="00B52EC8">
              <w:rPr>
                <w:b w:val="0"/>
                <w:color w:val="000000" w:themeColor="text1"/>
                <w:sz w:val="20"/>
              </w:rPr>
              <w:t xml:space="preserve"> </w:t>
            </w:r>
            <w:r w:rsidR="0021689C">
              <w:rPr>
                <w:b w:val="0"/>
                <w:color w:val="000000" w:themeColor="text1"/>
                <w:sz w:val="20"/>
              </w:rPr>
              <w:t>29</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3E0E9A6"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0362D6">
        <w:rPr>
          <w:color w:val="000000" w:themeColor="text1"/>
        </w:rPr>
        <w:t>0</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67134277"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4A555E">
        <w:rPr>
          <w:color w:val="000000" w:themeColor="text1"/>
        </w:rPr>
        <w:t>7</w:t>
      </w:r>
      <w:r w:rsidRPr="00207CFB">
        <w:rPr>
          <w:color w:val="000000" w:themeColor="text1"/>
        </w:rPr>
        <w:t xml:space="preserve"> for the following </w:t>
      </w:r>
      <w:r w:rsidR="0021689C">
        <w:rPr>
          <w:color w:val="000000" w:themeColor="text1"/>
        </w:rPr>
        <w:t>8</w:t>
      </w:r>
      <w:r w:rsidR="005852FA">
        <w:rPr>
          <w:color w:val="000000" w:themeColor="text1"/>
        </w:rPr>
        <w:t xml:space="preserve"> </w:t>
      </w:r>
      <w:r w:rsidRPr="00207CFB">
        <w:rPr>
          <w:color w:val="000000" w:themeColor="text1"/>
        </w:rPr>
        <w:t>CIDs for inclusion in the latest 11be draft?</w:t>
      </w:r>
    </w:p>
    <w:p w14:paraId="72A0686D" w14:textId="7C388429" w:rsidR="00B54703" w:rsidRDefault="000362D6" w:rsidP="00B54703">
      <w:pPr>
        <w:spacing w:after="0"/>
        <w:rPr>
          <w:rFonts w:ascii="Times New Roman" w:hAnsi="Times New Roman" w:cs="Times New Roman"/>
          <w:color w:val="000000" w:themeColor="text1"/>
          <w:w w:val="0"/>
          <w:sz w:val="20"/>
          <w:szCs w:val="20"/>
        </w:rPr>
      </w:pPr>
      <w:bookmarkStart w:id="1" w:name="_Hlk120623445"/>
      <w:r w:rsidRPr="002403EC">
        <w:rPr>
          <w:rFonts w:ascii="Times New Roman" w:eastAsia="Times New Roman" w:hAnsi="Times New Roman" w:cs="Times New Roman"/>
          <w:sz w:val="18"/>
          <w:szCs w:val="18"/>
        </w:rPr>
        <w:t>13587</w:t>
      </w:r>
      <w:r>
        <w:rPr>
          <w:rFonts w:ascii="Times New Roman" w:eastAsia="Times New Roman" w:hAnsi="Times New Roman" w:cs="Times New Roman"/>
          <w:sz w:val="18"/>
          <w:szCs w:val="18"/>
        </w:rPr>
        <w:tab/>
      </w:r>
      <w:r w:rsidR="00F85770" w:rsidRPr="00F85770">
        <w:rPr>
          <w:rFonts w:ascii="Times New Roman" w:hAnsi="Times New Roman" w:cs="Times New Roman"/>
          <w:color w:val="000000" w:themeColor="text1"/>
          <w:w w:val="0"/>
          <w:sz w:val="20"/>
          <w:szCs w:val="20"/>
        </w:rPr>
        <w:t>10039</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10863</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12726</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12728</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12892</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13588</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13813</w:t>
      </w:r>
    </w:p>
    <w:bookmarkEnd w:id="1"/>
    <w:p w14:paraId="2D2690FD" w14:textId="77777777" w:rsidR="00F85770" w:rsidRDefault="00F85770" w:rsidP="00B54703">
      <w:pPr>
        <w:spacing w:after="0"/>
        <w:rPr>
          <w:rFonts w:ascii="Times New Roman" w:hAnsi="Times New Roman" w:cs="Times New Roman"/>
          <w:color w:val="000000" w:themeColor="text1"/>
          <w:w w:val="0"/>
          <w:sz w:val="20"/>
          <w:szCs w:val="20"/>
        </w:rPr>
      </w:pPr>
    </w:p>
    <w:p w14:paraId="2650D9E2" w14:textId="64DBAA96" w:rsid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p w14:paraId="5A2C3161" w14:textId="4144310B" w:rsidR="00F33F2C" w:rsidRDefault="00F33F2C" w:rsidP="00B54703">
      <w:pPr>
        <w:spacing w:after="0"/>
        <w:rPr>
          <w:rFonts w:ascii="Times New Roman" w:hAnsi="Times New Roman" w:cs="Times New Roman"/>
          <w:sz w:val="20"/>
        </w:rPr>
      </w:pPr>
    </w:p>
    <w:p w14:paraId="701A51B4" w14:textId="7C462232" w:rsidR="00F33F2C" w:rsidRPr="00B54703" w:rsidRDefault="00F33F2C" w:rsidP="00B54703">
      <w:pPr>
        <w:spacing w:after="0"/>
        <w:rPr>
          <w:rFonts w:ascii="Times New Roman" w:hAnsi="Times New Roman" w:cs="Times New Roman"/>
          <w:sz w:val="20"/>
        </w:rPr>
      </w:pPr>
      <w:r>
        <w:rPr>
          <w:rFonts w:ascii="Times New Roman" w:hAnsi="Times New Roman" w:cs="Times New Roman"/>
          <w:sz w:val="20"/>
        </w:rPr>
        <w:t xml:space="preserve">Note: Motion already passed for CIDs </w:t>
      </w:r>
      <w:r w:rsidRPr="00F33F2C">
        <w:rPr>
          <w:rFonts w:ascii="Times New Roman" w:eastAsia="Times New Roman" w:hAnsi="Times New Roman" w:cs="Times New Roman"/>
          <w:sz w:val="18"/>
          <w:szCs w:val="18"/>
          <w:highlight w:val="green"/>
        </w:rPr>
        <w:t>10434 12813</w:t>
      </w:r>
      <w:r>
        <w:rPr>
          <w:rFonts w:ascii="Times New Roman" w:eastAsia="Times New Roman" w:hAnsi="Times New Roman" w:cs="Times New Roman"/>
          <w:sz w:val="18"/>
          <w:szCs w:val="18"/>
        </w:rPr>
        <w:t xml:space="preserve"> in 11-22/1335r5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794D8796" w14:textId="77777777" w:rsidR="00114673"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w:t>
      </w:r>
      <w:proofErr w:type="spellStart"/>
      <w:r>
        <w:rPr>
          <w:rFonts w:ascii="Times New Roman" w:eastAsia="Malgun Gothic" w:hAnsi="Times New Roman" w:cs="Times New Roman"/>
          <w:color w:val="000000" w:themeColor="text1"/>
          <w:sz w:val="18"/>
          <w:szCs w:val="20"/>
          <w:lang w:val="en-GB"/>
        </w:rPr>
        <w:t>Abhi</w:t>
      </w:r>
      <w:proofErr w:type="spellEnd"/>
      <w:r>
        <w:rPr>
          <w:rFonts w:ascii="Times New Roman" w:eastAsia="Malgun Gothic" w:hAnsi="Times New Roman" w:cs="Times New Roman"/>
          <w:color w:val="000000" w:themeColor="text1"/>
          <w:sz w:val="18"/>
          <w:szCs w:val="20"/>
          <w:lang w:val="en-GB"/>
        </w:rPr>
        <w:t xml:space="preserve">,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Shubhodeep</w:t>
      </w:r>
    </w:p>
    <w:p w14:paraId="550E171D" w14:textId="302882BC" w:rsidR="00C87E74" w:rsidRDefault="00114673"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changes based on inputs from Shubhodeep and Sindhu</w:t>
      </w:r>
      <w:r w:rsidR="000E404B">
        <w:rPr>
          <w:rFonts w:ascii="Times New Roman" w:eastAsia="Malgun Gothic" w:hAnsi="Times New Roman" w:cs="Times New Roman"/>
          <w:color w:val="000000" w:themeColor="text1"/>
          <w:sz w:val="18"/>
          <w:szCs w:val="20"/>
          <w:lang w:val="en-GB"/>
        </w:rPr>
        <w:t>, combined the CID tags with same resolution.</w:t>
      </w:r>
    </w:p>
    <w:p w14:paraId="5578611E" w14:textId="352CB14C" w:rsidR="003079F0" w:rsidRDefault="00CA4E1C"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 xml:space="preserve">changes based on inputs from </w:t>
      </w:r>
      <w:r w:rsidR="00BE33B5">
        <w:rPr>
          <w:rFonts w:ascii="Times New Roman" w:eastAsia="Malgun Gothic" w:hAnsi="Times New Roman" w:cs="Times New Roman"/>
          <w:color w:val="000000" w:themeColor="text1"/>
          <w:sz w:val="18"/>
          <w:szCs w:val="20"/>
          <w:lang w:val="en-GB"/>
        </w:rPr>
        <w:t>Liwen</w:t>
      </w:r>
      <w:r w:rsidR="00BE13C3">
        <w:rPr>
          <w:rFonts w:ascii="Times New Roman" w:eastAsia="Malgun Gothic" w:hAnsi="Times New Roman" w:cs="Times New Roman"/>
          <w:color w:val="000000" w:themeColor="text1"/>
          <w:sz w:val="18"/>
          <w:szCs w:val="20"/>
          <w:lang w:val="en-GB"/>
        </w:rPr>
        <w:t>,</w:t>
      </w:r>
      <w:r w:rsidR="00BE33B5">
        <w:rPr>
          <w:rFonts w:ascii="Times New Roman" w:eastAsia="Malgun Gothic" w:hAnsi="Times New Roman" w:cs="Times New Roman"/>
          <w:color w:val="000000" w:themeColor="text1"/>
          <w:sz w:val="18"/>
          <w:szCs w:val="20"/>
          <w:lang w:val="en-GB"/>
        </w:rPr>
        <w:t xml:space="preserve"> Alfred</w:t>
      </w:r>
      <w:r w:rsidR="003079F0">
        <w:rPr>
          <w:rFonts w:ascii="Times New Roman" w:eastAsia="Malgun Gothic" w:hAnsi="Times New Roman" w:cs="Times New Roman"/>
          <w:color w:val="000000" w:themeColor="text1"/>
          <w:sz w:val="18"/>
          <w:szCs w:val="20"/>
          <w:lang w:val="en-GB"/>
        </w:rPr>
        <w:t>,</w:t>
      </w:r>
      <w:r w:rsidR="00BE13C3">
        <w:rPr>
          <w:rFonts w:ascii="Times New Roman" w:eastAsia="Malgun Gothic" w:hAnsi="Times New Roman" w:cs="Times New Roman"/>
          <w:color w:val="000000" w:themeColor="text1"/>
          <w:sz w:val="18"/>
          <w:szCs w:val="20"/>
          <w:lang w:val="en-GB"/>
        </w:rPr>
        <w:t xml:space="preserve"> Shubhodeep</w:t>
      </w:r>
      <w:r>
        <w:rPr>
          <w:rFonts w:ascii="Times New Roman" w:eastAsia="Malgun Gothic" w:hAnsi="Times New Roman" w:cs="Times New Roman"/>
          <w:color w:val="000000" w:themeColor="text1"/>
          <w:sz w:val="18"/>
          <w:szCs w:val="20"/>
          <w:lang w:val="en-GB"/>
        </w:rPr>
        <w:t>.</w:t>
      </w:r>
    </w:p>
    <w:p w14:paraId="31815F2E" w14:textId="56B00300" w:rsidR="003079F0" w:rsidRPr="0067698F" w:rsidRDefault="003079F0"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Further editorial changes based on inputs from Alfred and Yongho, changed baseline to D2.2.</w:t>
      </w:r>
    </w:p>
    <w:p w14:paraId="2849C7C3" w14:textId="5A236B23" w:rsidR="003079F0" w:rsidRDefault="000362D6"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Removed the last 3 CIDs which were controversial.</w:t>
      </w:r>
    </w:p>
    <w:p w14:paraId="1BD207BE" w14:textId="57395DF0" w:rsidR="004A555E" w:rsidRPr="003079F0" w:rsidRDefault="004A555E"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024ECE">
        <w:rPr>
          <w:rFonts w:ascii="Times New Roman" w:eastAsia="Malgun Gothic" w:hAnsi="Times New Roman" w:cs="Times New Roman"/>
          <w:color w:val="000000" w:themeColor="text1"/>
          <w:sz w:val="18"/>
          <w:szCs w:val="20"/>
          <w:highlight w:val="cyan"/>
          <w:lang w:val="en-GB"/>
        </w:rPr>
        <w:t>Rev 7: Minor edit based on offline discussion with Qi, Jarkko and Yongho</w:t>
      </w:r>
      <w:r w:rsidR="00024ECE" w:rsidRPr="00024ECE">
        <w:rPr>
          <w:rFonts w:ascii="Times New Roman" w:eastAsia="Malgun Gothic" w:hAnsi="Times New Roman" w:cs="Times New Roman"/>
          <w:color w:val="000000" w:themeColor="text1"/>
          <w:sz w:val="18"/>
          <w:szCs w:val="20"/>
          <w:highlight w:val="cyan"/>
          <w:lang w:val="en-GB"/>
        </w:rPr>
        <w:t xml:space="preserve"> (highlighted blue)</w:t>
      </w:r>
      <w:r>
        <w:rPr>
          <w:rFonts w:ascii="Times New Roman" w:eastAsia="Malgun Gothic" w:hAnsi="Times New Roman" w:cs="Times New Roman"/>
          <w:color w:val="000000" w:themeColor="text1"/>
          <w:sz w:val="18"/>
          <w:szCs w:val="20"/>
          <w:lang w:val="en-GB"/>
        </w:rPr>
        <w:t>.</w:t>
      </w:r>
    </w:p>
    <w:p w14:paraId="58F9FE32" w14:textId="1B6D91A0" w:rsidR="00A353D7" w:rsidRPr="003079F0" w:rsidRDefault="00A353D7" w:rsidP="003079F0">
      <w:pPr>
        <w:suppressAutoHyphens/>
        <w:spacing w:after="0" w:line="240" w:lineRule="auto"/>
        <w:rPr>
          <w:rFonts w:ascii="Times New Roman" w:eastAsia="Malgun Gothic" w:hAnsi="Times New Roman" w:cs="Times New Roman"/>
          <w:color w:val="000000" w:themeColor="text1"/>
          <w:sz w:val="18"/>
          <w:szCs w:val="20"/>
          <w:lang w:val="en-GB"/>
        </w:rPr>
      </w:pPr>
      <w:r w:rsidRPr="003079F0">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F2CF20E" w14:textId="7A4F0156" w:rsidR="00121A1A" w:rsidRDefault="00121A1A"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3F342FE" w14:textId="77777777" w:rsidR="00121A1A" w:rsidRDefault="00121A1A"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0362D6" w:rsidRPr="00D31AC1" w14:paraId="63D94F67" w14:textId="77777777" w:rsidTr="00865F57">
        <w:trPr>
          <w:trHeight w:val="251"/>
        </w:trPr>
        <w:tc>
          <w:tcPr>
            <w:tcW w:w="825" w:type="dxa"/>
            <w:shd w:val="clear" w:color="auto" w:fill="D9D9D9" w:themeFill="background1" w:themeFillShade="D9"/>
          </w:tcPr>
          <w:p w14:paraId="52D613DA" w14:textId="77777777" w:rsidR="000362D6" w:rsidRPr="00D31AC1" w:rsidRDefault="000362D6" w:rsidP="00865F57">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9C46B35"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F51C85C"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F807837"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E90CD7D"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142829D3"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0362D6" w:rsidRPr="00D31AC1" w14:paraId="7BF6089E" w14:textId="77777777" w:rsidTr="00865F57">
        <w:trPr>
          <w:trHeight w:val="2120"/>
        </w:trPr>
        <w:tc>
          <w:tcPr>
            <w:tcW w:w="825" w:type="dxa"/>
            <w:shd w:val="clear" w:color="auto" w:fill="auto"/>
          </w:tcPr>
          <w:p w14:paraId="22C814C3" w14:textId="77777777" w:rsidR="000362D6" w:rsidRPr="00D31AC1" w:rsidRDefault="000362D6" w:rsidP="00865F57">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70D1375B"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54598F1"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7A092B31"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4CCAE83E"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1F3C6CAA" w14:textId="77777777" w:rsidR="000362D6" w:rsidRPr="00D31AC1" w:rsidRDefault="000362D6" w:rsidP="00865F57">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C217CF0" w14:textId="77777777" w:rsidR="000362D6" w:rsidRDefault="000362D6" w:rsidP="00865F57">
            <w:pPr>
              <w:suppressAutoHyphens/>
              <w:spacing w:after="0"/>
              <w:rPr>
                <w:rFonts w:ascii="Times New Roman" w:hAnsi="Times New Roman" w:cs="Times New Roman"/>
                <w:bCs/>
                <w:sz w:val="18"/>
                <w:szCs w:val="18"/>
              </w:rPr>
            </w:pPr>
          </w:p>
          <w:p w14:paraId="5BC2F274" w14:textId="589FF3AD" w:rsidR="000362D6" w:rsidRPr="00D31AC1" w:rsidRDefault="000362D6" w:rsidP="00865F57">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It has been clarified in Clause 35.3.17 that </w:t>
            </w:r>
            <w:r w:rsidR="00733504">
              <w:rPr>
                <w:rFonts w:ascii="Times New Roman" w:hAnsi="Times New Roman" w:cs="Times New Roman"/>
                <w:sz w:val="18"/>
                <w:szCs w:val="18"/>
              </w:rPr>
              <w:t>a</w:t>
            </w:r>
            <w:r w:rsidR="0031176E">
              <w:rPr>
                <w:rFonts w:ascii="Times New Roman" w:hAnsi="Times New Roman" w:cs="Times New Roman"/>
                <w:sz w:val="18"/>
                <w:szCs w:val="18"/>
              </w:rPr>
              <w:t xml:space="preserve"> STA affiliated with an EMLSR</w:t>
            </w:r>
            <w:r>
              <w:rPr>
                <w:rFonts w:ascii="Times New Roman" w:hAnsi="Times New Roman" w:cs="Times New Roman"/>
                <w:sz w:val="18"/>
                <w:szCs w:val="18"/>
              </w:rPr>
              <w:t xml:space="preserve"> non-AP MLD </w:t>
            </w:r>
            <w:r w:rsidR="0031176E">
              <w:rPr>
                <w:rFonts w:ascii="Times New Roman" w:hAnsi="Times New Roman" w:cs="Times New Roman"/>
                <w:sz w:val="18"/>
                <w:szCs w:val="18"/>
              </w:rPr>
              <w:t>should</w:t>
            </w:r>
            <w:r>
              <w:rPr>
                <w:rFonts w:ascii="Times New Roman" w:hAnsi="Times New Roman" w:cs="Times New Roman"/>
                <w:sz w:val="18"/>
                <w:szCs w:val="18"/>
              </w:rPr>
              <w:t xml:space="preserve"> be capable of receiving the group addressed frames that it intends to receive at their scheduled transmission time on that link</w:t>
            </w:r>
            <w:r w:rsidRPr="00FD3EBF">
              <w:rPr>
                <w:rFonts w:ascii="Times New Roman" w:hAnsi="Times New Roman" w:cs="Times New Roman"/>
                <w:sz w:val="18"/>
                <w:szCs w:val="18"/>
              </w:rPr>
              <w:t>.</w:t>
            </w:r>
            <w:r w:rsidR="00733504">
              <w:rPr>
                <w:rFonts w:ascii="Times New Roman" w:hAnsi="Times New Roman" w:cs="Times New Roman"/>
                <w:sz w:val="18"/>
                <w:szCs w:val="18"/>
              </w:rPr>
              <w:t xml:space="preserve"> After receiving the group addressed frames, the STA(s) affiliated with the non-AP MLD that are required to be in awake state shall return to listen operation.</w:t>
            </w:r>
          </w:p>
          <w:p w14:paraId="60DC424D" w14:textId="77777777" w:rsidR="000362D6" w:rsidRPr="00D31AC1" w:rsidRDefault="000362D6" w:rsidP="00865F57">
            <w:pPr>
              <w:suppressAutoHyphens/>
              <w:spacing w:after="0"/>
              <w:rPr>
                <w:rFonts w:ascii="Times New Roman" w:hAnsi="Times New Roman" w:cs="Times New Roman"/>
                <w:bCs/>
                <w:sz w:val="18"/>
                <w:szCs w:val="18"/>
              </w:rPr>
            </w:pPr>
          </w:p>
          <w:p w14:paraId="7CE86EF8" w14:textId="69580E91" w:rsidR="000362D6" w:rsidRPr="00D31AC1" w:rsidRDefault="000362D6" w:rsidP="00865F57">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5B0E68C4" w14:textId="77777777" w:rsidR="000362D6" w:rsidRDefault="000362D6"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w:t>
            </w:r>
            <w:proofErr w:type="gramStart"/>
            <w:r w:rsidRPr="00D31AC1">
              <w:rPr>
                <w:rFonts w:ascii="Times New Roman" w:eastAsia="Times New Roman" w:hAnsi="Times New Roman" w:cs="Times New Roman"/>
                <w:sz w:val="18"/>
                <w:szCs w:val="18"/>
              </w:rPr>
              <w:t>also</w:t>
            </w:r>
            <w:proofErr w:type="gramEnd"/>
            <w:r w:rsidRPr="00D31AC1">
              <w:rPr>
                <w:rFonts w:ascii="Times New Roman" w:eastAsia="Times New Roman" w:hAnsi="Times New Roman" w:cs="Times New Roman"/>
                <w:sz w:val="18"/>
                <w:szCs w:val="18"/>
              </w:rPr>
              <w:t xml:space="preserve">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1CCD41E8" w14:textId="43F65BB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w:t>
            </w:r>
            <w:r w:rsidR="0071656F">
              <w:rPr>
                <w:rFonts w:ascii="Times New Roman" w:hAnsi="Times New Roman" w:cs="Times New Roman"/>
                <w:bCs/>
                <w:sz w:val="18"/>
                <w:szCs w:val="18"/>
              </w:rPr>
              <w:t xml:space="preserve">transmitting </w:t>
            </w:r>
            <w:r>
              <w:rPr>
                <w:rFonts w:ascii="Times New Roman" w:hAnsi="Times New Roman" w:cs="Times New Roman"/>
                <w:bCs/>
                <w:sz w:val="18"/>
                <w:szCs w:val="18"/>
              </w:rPr>
              <w:t>frame</w:t>
            </w:r>
            <w:r w:rsidR="0071656F">
              <w:rPr>
                <w:rFonts w:ascii="Times New Roman" w:hAnsi="Times New Roman" w:cs="Times New Roman"/>
                <w:bCs/>
                <w:sz w:val="18"/>
                <w:szCs w:val="18"/>
              </w:rPr>
              <w:t>s</w:t>
            </w:r>
            <w:r>
              <w:rPr>
                <w:rFonts w:ascii="Times New Roman" w:hAnsi="Times New Roman" w:cs="Times New Roman"/>
                <w:bCs/>
                <w:sz w:val="18"/>
                <w:szCs w:val="18"/>
              </w:rPr>
              <w:t xml:space="preserve"> </w:t>
            </w:r>
            <w:r w:rsidR="0071656F">
              <w:rPr>
                <w:rFonts w:ascii="Times New Roman" w:hAnsi="Times New Roman" w:cs="Times New Roman"/>
                <w:bCs/>
                <w:sz w:val="18"/>
                <w:szCs w:val="18"/>
              </w:rPr>
              <w:t xml:space="preserve">whose response </w:t>
            </w:r>
            <w:r>
              <w:rPr>
                <w:rFonts w:ascii="Times New Roman" w:hAnsi="Times New Roman" w:cs="Times New Roman"/>
                <w:bCs/>
                <w:sz w:val="18"/>
                <w:szCs w:val="18"/>
              </w:rPr>
              <w:t>overlap</w:t>
            </w:r>
            <w:r w:rsidR="0071656F">
              <w:rPr>
                <w:rFonts w:ascii="Times New Roman" w:hAnsi="Times New Roman" w:cs="Times New Roman"/>
                <w:bCs/>
                <w:sz w:val="18"/>
                <w:szCs w:val="18"/>
              </w:rPr>
              <w:t>s</w:t>
            </w:r>
            <w:r>
              <w:rPr>
                <w:rFonts w:ascii="Times New Roman" w:hAnsi="Times New Roman" w:cs="Times New Roman"/>
                <w:bCs/>
                <w:sz w:val="18"/>
                <w:szCs w:val="18"/>
              </w:rPr>
              <w:t xml:space="preserve"> with </w:t>
            </w:r>
            <w:r w:rsidR="0071656F">
              <w:rPr>
                <w:rFonts w:ascii="Times New Roman" w:hAnsi="Times New Roman" w:cs="Times New Roman"/>
                <w:bCs/>
                <w:sz w:val="18"/>
                <w:szCs w:val="18"/>
              </w:rPr>
              <w:t>group addressed frames</w:t>
            </w:r>
            <w:r>
              <w:rPr>
                <w:rFonts w:ascii="Times New Roman" w:hAnsi="Times New Roman" w:cs="Times New Roman"/>
                <w:bCs/>
                <w:sz w:val="18"/>
                <w:szCs w:val="18"/>
              </w:rPr>
              <w:t xml:space="preserve"> on other EMLSR links have been added in Clause 35.3.17. This enables the non-AP MLD to switch to the desired link to decode the </w:t>
            </w:r>
            <w:r w:rsidR="0071656F">
              <w:rPr>
                <w:rFonts w:ascii="Times New Roman" w:hAnsi="Times New Roman" w:cs="Times New Roman"/>
                <w:bCs/>
                <w:sz w:val="18"/>
                <w:szCs w:val="18"/>
              </w:rPr>
              <w:t>group addressed</w:t>
            </w:r>
            <w:r>
              <w:rPr>
                <w:rFonts w:ascii="Times New Roman" w:hAnsi="Times New Roman" w:cs="Times New Roman"/>
                <w:bCs/>
                <w:sz w:val="18"/>
                <w:szCs w:val="18"/>
              </w:rPr>
              <w:t xml:space="preserve"> </w:t>
            </w:r>
            <w:r>
              <w:rPr>
                <w:rFonts w:ascii="Times New Roman" w:hAnsi="Times New Roman" w:cs="Times New Roman"/>
                <w:bCs/>
                <w:sz w:val="18"/>
                <w:szCs w:val="18"/>
              </w:rPr>
              <w:lastRenderedPageBreak/>
              <w:t>frames</w:t>
            </w:r>
            <w:r w:rsidR="00793D7F">
              <w:rPr>
                <w:rFonts w:ascii="Times New Roman" w:hAnsi="Times New Roman" w:cs="Times New Roman"/>
                <w:bCs/>
                <w:sz w:val="18"/>
                <w:szCs w:val="18"/>
              </w:rPr>
              <w:t xml:space="preserve"> without dropping frames on other links</w:t>
            </w:r>
            <w:r>
              <w:rPr>
                <w:rFonts w:ascii="Times New Roman" w:hAnsi="Times New Roman" w:cs="Times New Roman"/>
                <w:bCs/>
                <w:sz w:val="18"/>
                <w:szCs w:val="18"/>
              </w:rPr>
              <w:t xml:space="preserve">. </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481222B9"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w:t>
            </w:r>
            <w:r w:rsidR="00252561">
              <w:rPr>
                <w:rFonts w:ascii="Times New Roman" w:hAnsi="Times New Roman" w:cs="Times New Roman"/>
                <w:b/>
                <w:sz w:val="18"/>
                <w:szCs w:val="18"/>
              </w:rPr>
              <w:t>863</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45DF2F6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54624923"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044F77F4"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68832030"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w:t>
            </w:r>
            <w:r w:rsidRPr="00D31AC1">
              <w:rPr>
                <w:rFonts w:ascii="Times New Roman" w:eastAsia="Times New Roman" w:hAnsi="Times New Roman" w:cs="Times New Roman"/>
                <w:sz w:val="18"/>
                <w:szCs w:val="18"/>
              </w:rPr>
              <w:lastRenderedPageBreak/>
              <w:t>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 xml:space="preserve">Please provide rules for an EMLSR STAs or AP, to deal with the case of initial Control frame overlapping the TBTT on other EMLSR </w:t>
            </w:r>
            <w:proofErr w:type="gramStart"/>
            <w:r w:rsidRPr="00D31AC1">
              <w:rPr>
                <w:rFonts w:ascii="Times New Roman" w:eastAsia="Times New Roman" w:hAnsi="Times New Roman" w:cs="Times New Roman"/>
                <w:sz w:val="18"/>
                <w:szCs w:val="18"/>
              </w:rPr>
              <w:t>Link .</w:t>
            </w:r>
            <w:proofErr w:type="gramEnd"/>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340191E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w:t>
            </w:r>
            <w:r w:rsidR="0071656F">
              <w:rPr>
                <w:rFonts w:ascii="Times New Roman" w:hAnsi="Times New Roman" w:cs="Times New Roman"/>
                <w:bCs/>
                <w:sz w:val="18"/>
                <w:szCs w:val="18"/>
              </w:rPr>
              <w:lastRenderedPageBreak/>
              <w:t>group addressed frames on other EMLSR links have been added in Clause 35.3.17. This enables the non-AP MLD to switch to the desired link to decode the group addressed frames without dropping frames on other links.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2A22429F"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1432CE7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01F647F9"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250015B2"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3E687A91"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proofErr w:type="gramStart"/>
            <w:r w:rsidRPr="00D31AC1">
              <w:rPr>
                <w:rFonts w:ascii="Times New Roman" w:eastAsia="Times New Roman" w:hAnsi="Times New Roman" w:cs="Times New Roman"/>
                <w:sz w:val="18"/>
                <w:szCs w:val="18"/>
              </w:rPr>
              <w:t>a</w:t>
            </w:r>
            <w:proofErr w:type="spellEnd"/>
            <w:proofErr w:type="gram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5EC54E41"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42857352"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4A555E">
              <w:rPr>
                <w:rFonts w:ascii="Times New Roman" w:hAnsi="Times New Roman" w:cs="Times New Roman"/>
                <w:b/>
                <w:sz w:val="18"/>
                <w:szCs w:val="18"/>
              </w:rPr>
              <w:t>7</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bl>
    <w:p w14:paraId="59492F14" w14:textId="7F85D107" w:rsidR="00590201" w:rsidRDefault="00590201" w:rsidP="00C75F57">
      <w:pPr>
        <w:pStyle w:val="T1"/>
        <w:suppressAutoHyphens/>
        <w:spacing w:after="120"/>
        <w:jc w:val="left"/>
        <w:rPr>
          <w:b w:val="0"/>
          <w:bCs/>
          <w:iCs/>
          <w:color w:val="000000" w:themeColor="text1"/>
          <w:sz w:val="20"/>
        </w:rPr>
      </w:pPr>
    </w:p>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71EA3FA" w14:textId="77777777" w:rsidR="00D55A4E" w:rsidRPr="00C03918" w:rsidRDefault="00D55A4E" w:rsidP="00E50E95"/>
    <w:p w14:paraId="080A587F" w14:textId="0AC89DDD" w:rsidR="00C03918" w:rsidRPr="00D55A4E" w:rsidRDefault="00793D7F"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Protecting individually addressed frames during </w:t>
      </w:r>
      <w:r w:rsidR="00D55A4E"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00D55A4E" w:rsidRPr="00D55A4E">
        <w:rPr>
          <w:rFonts w:ascii="Times New Roman" w:hAnsi="Times New Roman" w:cs="Times New Roman"/>
          <w:color w:val="000000"/>
          <w:sz w:val="20"/>
          <w:szCs w:val="24"/>
          <w:u w:val="single"/>
        </w:rPr>
        <w:t xml:space="preserve">addressed frame </w:t>
      </w:r>
      <w:r>
        <w:rPr>
          <w:rFonts w:ascii="Times New Roman" w:hAnsi="Times New Roman" w:cs="Times New Roman"/>
          <w:color w:val="000000"/>
          <w:sz w:val="20"/>
          <w:szCs w:val="24"/>
          <w:u w:val="single"/>
        </w:rPr>
        <w:t>transmission</w:t>
      </w:r>
      <w:r w:rsidR="00D55A4E" w:rsidRPr="00D55A4E">
        <w:rPr>
          <w:rFonts w:ascii="Times New Roman" w:hAnsi="Times New Roman" w:cs="Times New Roman"/>
          <w:color w:val="000000"/>
          <w:sz w:val="20"/>
          <w:szCs w:val="24"/>
          <w:u w:val="single"/>
        </w:rPr>
        <w:t>:</w:t>
      </w:r>
    </w:p>
    <w:p w14:paraId="3E1C8B88" w14:textId="19D3DEA5" w:rsidR="002A6683" w:rsidRPr="00D55A4E" w:rsidRDefault="006D3D18" w:rsidP="00D55A4E">
      <w:pPr>
        <w:spacing w:after="0"/>
        <w:jc w:val="both"/>
        <w:rPr>
          <w:rFonts w:ascii="Times New Roman" w:hAnsi="Times New Roman" w:cs="Times New Roman"/>
          <w:sz w:val="20"/>
        </w:rPr>
      </w:pPr>
      <w:r>
        <w:rPr>
          <w:rFonts w:ascii="Times New Roman" w:hAnsi="Times New Roman" w:cs="Times New Roman"/>
          <w:sz w:val="20"/>
        </w:rPr>
        <w:t>As per current spec, a</w:t>
      </w:r>
      <w:r w:rsidR="00D01A3F">
        <w:rPr>
          <w:rFonts w:ascii="Times New Roman" w:hAnsi="Times New Roman" w:cs="Times New Roman"/>
          <w:sz w:val="20"/>
        </w:rPr>
        <w:t xml:space="preserve"> STA affiliated with an EMLSR non-AP MLD operating on an EMLSR link may not respond to an initial control frame or to a frame </w:t>
      </w:r>
      <w:r w:rsidR="00507633">
        <w:rPr>
          <w:rFonts w:ascii="Times New Roman" w:hAnsi="Times New Roman" w:cs="Times New Roman"/>
          <w:sz w:val="20"/>
        </w:rPr>
        <w:t>soliciting an immediate response</w:t>
      </w:r>
      <w:r w:rsidR="00346613">
        <w:rPr>
          <w:rFonts w:ascii="Times New Roman" w:hAnsi="Times New Roman" w:cs="Times New Roman"/>
          <w:sz w:val="20"/>
        </w:rPr>
        <w:t>,</w:t>
      </w:r>
      <w:r w:rsidR="00507633">
        <w:rPr>
          <w:rFonts w:ascii="Times New Roman" w:hAnsi="Times New Roman" w:cs="Times New Roman"/>
          <w:sz w:val="20"/>
        </w:rPr>
        <w:t xml:space="preserve"> if the response overlaps with group</w:t>
      </w:r>
      <w:r w:rsidR="00BF5F7F">
        <w:rPr>
          <w:rFonts w:ascii="Times New Roman" w:hAnsi="Times New Roman" w:cs="Times New Roman"/>
          <w:sz w:val="20"/>
        </w:rPr>
        <w:t xml:space="preserve"> </w:t>
      </w:r>
      <w:r w:rsidR="00507633">
        <w:rPr>
          <w:rFonts w:ascii="Times New Roman" w:hAnsi="Times New Roman" w:cs="Times New Roman"/>
          <w:sz w:val="20"/>
        </w:rPr>
        <w:t>addressed frame transmission on another EMLSR link that the non-AP MLD intends to receive</w:t>
      </w:r>
      <w:r>
        <w:rPr>
          <w:rFonts w:ascii="Times New Roman" w:hAnsi="Times New Roman" w:cs="Times New Roman"/>
          <w:sz w:val="20"/>
        </w:rPr>
        <w:t>.</w:t>
      </w:r>
      <w:r w:rsidR="00507633">
        <w:rPr>
          <w:rFonts w:ascii="Times New Roman" w:hAnsi="Times New Roman" w:cs="Times New Roman"/>
          <w:sz w:val="20"/>
        </w:rPr>
        <w:t xml:space="preserve"> This can cause failure of the packet or can even cause loss of TXOP for the AP of the AP MLD that transmitted the frame.</w:t>
      </w:r>
      <w:r w:rsidR="007B4CCE">
        <w:rPr>
          <w:rFonts w:ascii="Times New Roman" w:hAnsi="Times New Roman" w:cs="Times New Roman"/>
          <w:sz w:val="20"/>
        </w:rPr>
        <w:t xml:space="preserve"> </w:t>
      </w:r>
      <w:r w:rsidR="00346613">
        <w:rPr>
          <w:rFonts w:ascii="Times New Roman" w:hAnsi="Times New Roman" w:cs="Times New Roman"/>
          <w:sz w:val="20"/>
        </w:rPr>
        <w:t>Therefore, t</w:t>
      </w:r>
      <w:r w:rsidR="007B4CCE">
        <w:rPr>
          <w:rFonts w:ascii="Times New Roman" w:hAnsi="Times New Roman" w:cs="Times New Roman"/>
          <w:sz w:val="20"/>
        </w:rPr>
        <w:t>o prevent such unreliable transmissions,</w:t>
      </w:r>
      <w:r w:rsidR="00171C17">
        <w:rPr>
          <w:rFonts w:ascii="Times New Roman" w:hAnsi="Times New Roman" w:cs="Times New Roman"/>
          <w:sz w:val="20"/>
        </w:rPr>
        <w:t xml:space="preserve"> </w:t>
      </w:r>
      <w:r w:rsidR="005575B9">
        <w:rPr>
          <w:rFonts w:ascii="Times New Roman" w:hAnsi="Times New Roman" w:cs="Times New Roman"/>
          <w:sz w:val="20"/>
        </w:rPr>
        <w:t>an AP MLD</w:t>
      </w:r>
      <w:r w:rsidR="00171C17">
        <w:rPr>
          <w:rFonts w:ascii="Times New Roman" w:hAnsi="Times New Roman" w:cs="Times New Roman"/>
          <w:sz w:val="20"/>
        </w:rPr>
        <w:t xml:space="preserve"> should</w:t>
      </w:r>
      <w:r w:rsidR="00346613">
        <w:rPr>
          <w:rFonts w:ascii="Times New Roman" w:hAnsi="Times New Roman" w:cs="Times New Roman"/>
          <w:sz w:val="20"/>
        </w:rPr>
        <w:t xml:space="preserve"> </w:t>
      </w:r>
      <w:r w:rsidR="00171C17">
        <w:rPr>
          <w:rFonts w:ascii="Times New Roman" w:hAnsi="Times New Roman" w:cs="Times New Roman"/>
          <w:sz w:val="20"/>
        </w:rPr>
        <w:t xml:space="preserve">avoid transmitting </w:t>
      </w:r>
      <w:r w:rsidR="00951E97">
        <w:rPr>
          <w:rFonts w:ascii="Times New Roman" w:hAnsi="Times New Roman" w:cs="Times New Roman"/>
          <w:sz w:val="20"/>
        </w:rPr>
        <w:t>individually</w:t>
      </w:r>
      <w:r w:rsidR="00244CFE">
        <w:rPr>
          <w:rFonts w:ascii="Times New Roman" w:hAnsi="Times New Roman" w:cs="Times New Roman"/>
          <w:sz w:val="20"/>
        </w:rPr>
        <w:t xml:space="preserve"> </w:t>
      </w:r>
      <w:r w:rsidR="005575B9">
        <w:rPr>
          <w:rFonts w:ascii="Times New Roman" w:hAnsi="Times New Roman" w:cs="Times New Roman"/>
          <w:sz w:val="20"/>
        </w:rPr>
        <w:t>addressed frame</w:t>
      </w:r>
      <w:r w:rsidR="00951E97">
        <w:rPr>
          <w:rFonts w:ascii="Times New Roman" w:hAnsi="Times New Roman" w:cs="Times New Roman"/>
          <w:sz w:val="20"/>
        </w:rPr>
        <w:t>s</w:t>
      </w:r>
      <w:r w:rsidR="00171C17">
        <w:rPr>
          <w:rFonts w:ascii="Times New Roman" w:hAnsi="Times New Roman" w:cs="Times New Roman"/>
          <w:sz w:val="20"/>
        </w:rPr>
        <w:t xml:space="preserve"> that solicit an immediate response</w:t>
      </w:r>
      <w:r w:rsidR="00346613">
        <w:rPr>
          <w:rFonts w:ascii="Times New Roman" w:hAnsi="Times New Roman" w:cs="Times New Roman"/>
          <w:sz w:val="20"/>
        </w:rPr>
        <w:t xml:space="preserve"> (including initial control frames)</w:t>
      </w:r>
      <w:r w:rsidR="00171C17">
        <w:rPr>
          <w:rFonts w:ascii="Times New Roman" w:hAnsi="Times New Roman" w:cs="Times New Roman"/>
          <w:sz w:val="20"/>
        </w:rPr>
        <w:t xml:space="preserve"> to a STA affiliated with an EMLSR non-AP MLD, if the response is expected to overlap with or is less than an EMLSR transition delay before the scheduled group</w:t>
      </w:r>
      <w:r w:rsidR="00BF5F7F">
        <w:rPr>
          <w:rFonts w:ascii="Times New Roman" w:hAnsi="Times New Roman" w:cs="Times New Roman"/>
          <w:sz w:val="20"/>
        </w:rPr>
        <w:t xml:space="preserve"> </w:t>
      </w:r>
      <w:r w:rsidR="00171C17">
        <w:rPr>
          <w:rFonts w:ascii="Times New Roman" w:hAnsi="Times New Roman" w:cs="Times New Roman"/>
          <w:sz w:val="20"/>
        </w:rPr>
        <w:t>addressed frame transmission time on another EMLSR link that the non-AP MLD is expected to receive.</w:t>
      </w:r>
      <w:r w:rsidR="00E12D53">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xml:space="preserve">, and to </w:t>
      </w:r>
      <w:r w:rsidR="00951E97">
        <w:rPr>
          <w:rFonts w:ascii="Times New Roman" w:hAnsi="Times New Roman" w:cs="Times New Roman"/>
          <w:bCs/>
          <w:color w:val="333333"/>
          <w:sz w:val="20"/>
          <w:lang w:val="en-GB"/>
        </w:rPr>
        <w:t>prevent such reception from causing a packet failure</w:t>
      </w:r>
      <w:r w:rsidR="004F6633" w:rsidRPr="00D55A4E">
        <w:rPr>
          <w:rFonts w:ascii="Times New Roman" w:hAnsi="Times New Roman" w:cs="Times New Roman"/>
          <w:bCs/>
          <w:color w:val="333333"/>
          <w:sz w:val="20"/>
          <w:lang w:val="en-GB"/>
        </w:rPr>
        <w:t>,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74B64BA1" w:rsidR="002A6683" w:rsidRDefault="003F56DF" w:rsidP="00E12D53">
      <w:pPr>
        <w:jc w:val="both"/>
        <w:rPr>
          <w:rFonts w:ascii="Times New Roman" w:hAnsi="Times New Roman" w:cs="Times New Roman"/>
          <w:sz w:val="20"/>
        </w:rPr>
      </w:pPr>
      <w:r>
        <w:rPr>
          <w:noProof/>
        </w:rPr>
        <w:lastRenderedPageBreak/>
        <w:drawing>
          <wp:inline distT="0" distB="0" distL="0" distR="0" wp14:anchorId="1080664A" wp14:editId="44E01CDF">
            <wp:extent cx="5943600" cy="2227580"/>
            <wp:effectExtent l="0" t="0" r="0" b="127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3"/>
                    <a:stretch>
                      <a:fillRect/>
                    </a:stretch>
                  </pic:blipFill>
                  <pic:spPr>
                    <a:xfrm>
                      <a:off x="0" y="0"/>
                      <a:ext cx="5943600" cy="2227580"/>
                    </a:xfrm>
                    <a:prstGeom prst="rect">
                      <a:avLst/>
                    </a:prstGeom>
                  </pic:spPr>
                </pic:pic>
              </a:graphicData>
            </a:graphic>
          </wp:inline>
        </w:drawing>
      </w:r>
    </w:p>
    <w:p w14:paraId="391799CD" w14:textId="1FEA66F4" w:rsidR="00761AC2" w:rsidRDefault="00900D39" w:rsidP="004B4F7B">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693199" w:rsidRPr="00D5150B">
        <w:rPr>
          <w:b/>
          <w:i/>
          <w:iCs/>
          <w:color w:val="000000" w:themeColor="text1"/>
          <w:highlight w:val="yellow"/>
        </w:rPr>
        <w:t>2</w:t>
      </w:r>
      <w:r w:rsidR="003079F0" w:rsidRPr="003079F0">
        <w:rPr>
          <w:b/>
          <w:i/>
          <w:iCs/>
          <w:color w:val="000000" w:themeColor="text1"/>
          <w:highlight w:val="yellow"/>
        </w:rPr>
        <w:t>.2</w:t>
      </w:r>
    </w:p>
    <w:p w14:paraId="264BC24F" w14:textId="5256FDC0" w:rsidR="00C50FE0" w:rsidRDefault="00262E92" w:rsidP="00F33B12">
      <w:pPr>
        <w:pStyle w:val="T"/>
        <w:spacing w:after="0" w:line="240" w:lineRule="auto"/>
        <w:rPr>
          <w:rFonts w:ascii="Arial" w:hAnsi="Arial" w:cs="Arial"/>
          <w:b/>
          <w:color w:val="000000" w:themeColor="text1"/>
        </w:rPr>
      </w:pPr>
      <w:bookmarkStart w:id="2" w:name="_Hlk120623657"/>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bookmarkEnd w:id="2"/>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04DD57F1" w14:textId="77777777" w:rsidR="000362D6" w:rsidRPr="00DD6BAF" w:rsidRDefault="000362D6" w:rsidP="000362D6">
      <w:pPr>
        <w:pStyle w:val="T"/>
        <w:spacing w:after="0" w:line="240" w:lineRule="auto"/>
        <w:rPr>
          <w:iCs/>
          <w:color w:val="auto"/>
        </w:rPr>
      </w:pPr>
      <w:bookmarkStart w:id="3" w:name="_Hlk120623336"/>
      <w:r w:rsidRPr="00DD6BAF">
        <w:rPr>
          <w:iCs/>
          <w:color w:val="auto"/>
        </w:rPr>
        <w:t>When a non-AP MLD is operating in the EMLSR mode with an AP MLD supporting the EMLSR mode, the following applies:</w:t>
      </w:r>
    </w:p>
    <w:p w14:paraId="3A835C98" w14:textId="77777777" w:rsidR="000362D6" w:rsidRPr="00DD6BAF" w:rsidRDefault="000362D6" w:rsidP="000362D6">
      <w:pPr>
        <w:pStyle w:val="T"/>
        <w:spacing w:after="0" w:line="240" w:lineRule="auto"/>
        <w:rPr>
          <w:b/>
          <w:i/>
          <w:iCs/>
          <w:color w:val="000000" w:themeColor="text1"/>
          <w:sz w:val="18"/>
          <w:szCs w:val="18"/>
          <w:lang w:eastAsia="ko-KR"/>
        </w:rPr>
      </w:pPr>
      <w:r w:rsidRPr="00DD6BAF">
        <w:rPr>
          <w:b/>
          <w:i/>
          <w:iCs/>
          <w:color w:val="000000" w:themeColor="text1"/>
        </w:rPr>
        <w:t>…</w:t>
      </w:r>
    </w:p>
    <w:p w14:paraId="1D090367" w14:textId="0ECED52B" w:rsidR="000362D6" w:rsidRPr="00DD6BAF" w:rsidRDefault="000362D6" w:rsidP="000362D6">
      <w:pPr>
        <w:pStyle w:val="T"/>
        <w:numPr>
          <w:ilvl w:val="0"/>
          <w:numId w:val="5"/>
        </w:numPr>
        <w:spacing w:before="0" w:after="0" w:line="240" w:lineRule="auto"/>
        <w:rPr>
          <w:color w:val="0070C0"/>
          <w:sz w:val="22"/>
          <w:szCs w:val="22"/>
          <w:u w:val="single"/>
        </w:rPr>
      </w:pPr>
      <w:bookmarkStart w:id="4" w:name="_Hlk116395505"/>
      <w:bookmarkStart w:id="5" w:name="_Hlk119048734"/>
      <w:r w:rsidRPr="00DD6BAF">
        <w:rPr>
          <w:color w:val="00B050"/>
          <w:u w:val="single"/>
        </w:rPr>
        <w:t>[13587]</w:t>
      </w:r>
      <w:r w:rsidR="002560FE" w:rsidRPr="00DD6BAF">
        <w:rPr>
          <w:color w:val="00B050"/>
          <w:u w:val="single"/>
        </w:rPr>
        <w:t xml:space="preserve"> </w:t>
      </w:r>
      <w:r w:rsidR="002560FE" w:rsidRPr="00DD6BAF">
        <w:rPr>
          <w:color w:val="0070C0"/>
          <w:u w:val="single"/>
        </w:rPr>
        <w:t xml:space="preserve">The STA affiliated with the non-AP MLD and operating on an EMLSR link that intends to receive group addressed frames </w:t>
      </w:r>
      <w:r w:rsidR="003A05B1">
        <w:rPr>
          <w:color w:val="0070C0"/>
          <w:u w:val="single"/>
        </w:rPr>
        <w:t>should</w:t>
      </w:r>
      <w:r w:rsidR="002560FE" w:rsidRPr="00DD6BAF">
        <w:rPr>
          <w:color w:val="0070C0"/>
          <w:u w:val="single"/>
        </w:rPr>
        <w:t xml:space="preserve"> be capable of receiving the group addressed frames at their scheduled transmission time on that link.</w:t>
      </w:r>
      <w:bookmarkEnd w:id="4"/>
      <w:r w:rsidR="00C927E8" w:rsidRPr="00DD6BAF">
        <w:rPr>
          <w:u w:val="single"/>
        </w:rPr>
        <w:t xml:space="preserve"> </w:t>
      </w:r>
      <w:r w:rsidR="00C927E8" w:rsidRPr="00DD6BAF">
        <w:rPr>
          <w:color w:val="0070C0"/>
          <w:w w:val="100"/>
          <w:u w:val="single"/>
        </w:rPr>
        <w:t>After receiving the group addressed frame(s), the STA(s) affiliated with the non-AP MLD which operate on the EMLSR links but were not able to perform listening operation during the reception of the group addressed frames shall return to the listening operation if they are required to remain in the awake state according to 11.2.3.7 (Receive operation for STAs in PS mode), 26.8.5 (Power save operation during TWT SPs).</w:t>
      </w:r>
      <w:r w:rsidR="004A555E">
        <w:rPr>
          <w:color w:val="0070C0"/>
          <w:w w:val="100"/>
          <w:u w:val="single"/>
        </w:rPr>
        <w:t xml:space="preserve"> </w:t>
      </w:r>
      <w:r w:rsidR="004A555E" w:rsidRPr="00024ECE">
        <w:rPr>
          <w:rFonts w:eastAsia="Times New Roman"/>
          <w:color w:val="0070C0"/>
          <w:highlight w:val="cyan"/>
          <w:u w:val="single"/>
        </w:rPr>
        <w:t xml:space="preserve">The return to listening operation shall be </w:t>
      </w:r>
      <w:r w:rsidR="00C91976">
        <w:rPr>
          <w:rFonts w:eastAsia="Times New Roman"/>
          <w:color w:val="0070C0"/>
          <w:highlight w:val="cyan"/>
          <w:u w:val="single"/>
        </w:rPr>
        <w:t xml:space="preserve">a duration of EMLSR transition delay, </w:t>
      </w:r>
      <w:r w:rsidR="004A555E" w:rsidRPr="00024ECE">
        <w:rPr>
          <w:rFonts w:eastAsia="Times New Roman"/>
          <w:color w:val="0070C0"/>
          <w:highlight w:val="cyan"/>
          <w:u w:val="single"/>
        </w:rPr>
        <w:t>indicated in the EMLSR Transition Delay subfield, following the end of the group addressed frame reception.</w:t>
      </w:r>
    </w:p>
    <w:p w14:paraId="70F10CE5" w14:textId="77777777" w:rsidR="000362D6" w:rsidRPr="00DD6BAF" w:rsidRDefault="000362D6" w:rsidP="000362D6">
      <w:pPr>
        <w:pStyle w:val="T"/>
        <w:numPr>
          <w:ilvl w:val="0"/>
          <w:numId w:val="5"/>
        </w:numPr>
        <w:spacing w:before="0" w:after="0" w:line="240" w:lineRule="auto"/>
        <w:rPr>
          <w:bCs/>
          <w:color w:val="0070C0"/>
          <w:u w:val="single"/>
          <w:lang w:eastAsia="ko-KR"/>
        </w:rPr>
      </w:pPr>
      <w:bookmarkStart w:id="6" w:name="_Hlk119396526"/>
      <w:bookmarkStart w:id="7" w:name="_Hlk116464230"/>
      <w:bookmarkEnd w:id="5"/>
      <w:r w:rsidRPr="00DD6BAF">
        <w:rPr>
          <w:color w:val="00B050"/>
        </w:rPr>
        <w:t>[10863]</w:t>
      </w:r>
      <w:r w:rsidRPr="00DD6BAF">
        <w:rPr>
          <w:bCs/>
          <w:color w:val="0070C0"/>
          <w:u w:val="single"/>
          <w:lang w:eastAsia="ko-KR"/>
        </w:rPr>
        <w:t xml:space="preserve"> An AP affiliated with the AP MLD should not transmit a frame that solicits an immediate response to a STA that is affiliated with the non-AP MLD on an EMLSR link, if the transmit time of the immediate response is expected to overlap with or be within an EMLSR transition delay, indicated in the EMLSR transition delay subfield, before the transmission time of group addressed MPDUs on another EMLSR link that the non-AP MLD is expected to receive.</w:t>
      </w:r>
      <w:bookmarkEnd w:id="6"/>
      <w:r w:rsidRPr="00DD6BAF">
        <w:rPr>
          <w:bCs/>
          <w:color w:val="0070C0"/>
          <w:u w:val="single"/>
          <w:lang w:eastAsia="ko-KR"/>
        </w:rPr>
        <w:t xml:space="preserve"> </w:t>
      </w:r>
    </w:p>
    <w:bookmarkEnd w:id="7"/>
    <w:p w14:paraId="6A889258" w14:textId="77777777" w:rsidR="000362D6" w:rsidRPr="00DD6BAF" w:rsidRDefault="000362D6" w:rsidP="000362D6">
      <w:pPr>
        <w:pStyle w:val="T"/>
        <w:numPr>
          <w:ilvl w:val="0"/>
          <w:numId w:val="5"/>
        </w:numPr>
        <w:spacing w:after="0" w:line="240" w:lineRule="auto"/>
        <w:rPr>
          <w:bCs/>
          <w:color w:val="auto"/>
          <w:lang w:eastAsia="ko-KR"/>
        </w:rPr>
      </w:pPr>
      <w:r w:rsidRPr="00DD6BAF">
        <w:rPr>
          <w:bCs/>
          <w:color w:val="auto"/>
          <w:lang w:eastAsia="ko-KR"/>
        </w:rPr>
        <w:t>When a non-AP STA affiliated with the non-AP MLD initiates a TXOP the following applies:</w:t>
      </w:r>
    </w:p>
    <w:p w14:paraId="14631C34" w14:textId="77777777" w:rsidR="000362D6" w:rsidRPr="00DD6BAF" w:rsidRDefault="000362D6" w:rsidP="000362D6">
      <w:pPr>
        <w:pStyle w:val="T"/>
        <w:numPr>
          <w:ilvl w:val="1"/>
          <w:numId w:val="5"/>
        </w:numPr>
        <w:spacing w:after="0" w:line="240" w:lineRule="auto"/>
        <w:rPr>
          <w:bCs/>
          <w:color w:val="000000" w:themeColor="text1"/>
          <w:lang w:eastAsia="ko-KR"/>
        </w:rPr>
      </w:pPr>
      <w:r w:rsidRPr="00DD6BAF">
        <w:rPr>
          <w:bCs/>
          <w:color w:val="000000" w:themeColor="text1"/>
          <w:lang w:eastAsia="ko-KR"/>
        </w:rPr>
        <w:t>The non-AP MLD shall be switched back to the listening operation on the EMLSR links after the time duration indicated in the EMLSR Transition Delay subfield after the end of the TXOP.</w:t>
      </w:r>
    </w:p>
    <w:p w14:paraId="393DAF63" w14:textId="77777777" w:rsidR="000362D6" w:rsidRPr="00DD6BAF" w:rsidRDefault="000362D6" w:rsidP="00200FD1">
      <w:pPr>
        <w:pStyle w:val="T"/>
        <w:numPr>
          <w:ilvl w:val="1"/>
          <w:numId w:val="5"/>
        </w:numPr>
        <w:spacing w:before="0" w:after="0" w:line="240" w:lineRule="auto"/>
        <w:rPr>
          <w:bCs/>
          <w:color w:val="000000" w:themeColor="text1"/>
          <w:u w:val="single"/>
          <w:lang w:eastAsia="ko-KR"/>
        </w:rPr>
      </w:pPr>
      <w:r w:rsidRPr="00DD6BAF">
        <w:rPr>
          <w:color w:val="00B050"/>
        </w:rPr>
        <w:t>[10863]</w:t>
      </w:r>
      <w:r w:rsidRPr="00DD6BAF">
        <w:rPr>
          <w:bCs/>
          <w:color w:val="0070C0"/>
          <w:u w:val="single"/>
          <w:lang w:eastAsia="ko-KR"/>
        </w:rPr>
        <w:t xml:space="preserve"> 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bookmarkEnd w:id="3"/>
    <w:p w14:paraId="59ABD5FE" w14:textId="39FFE702" w:rsidR="008C2DFE" w:rsidRPr="00AE6899" w:rsidRDefault="008C2DFE" w:rsidP="00AE6899">
      <w:pPr>
        <w:pStyle w:val="T"/>
        <w:spacing w:after="0" w:line="240" w:lineRule="auto"/>
        <w:rPr>
          <w:bCs/>
          <w:color w:val="000000" w:themeColor="text1"/>
          <w:sz w:val="16"/>
          <w:szCs w:val="16"/>
          <w:lang w:eastAsia="ko-KR"/>
        </w:rPr>
      </w:pPr>
    </w:p>
    <w:sectPr w:rsidR="008C2DFE" w:rsidRPr="00AE6899" w:rsidSect="00A5154A">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361C" w14:textId="77777777" w:rsidR="00F17D83" w:rsidRDefault="00F17D83">
      <w:pPr>
        <w:spacing w:after="0" w:line="240" w:lineRule="auto"/>
      </w:pPr>
      <w:r>
        <w:separator/>
      </w:r>
    </w:p>
  </w:endnote>
  <w:endnote w:type="continuationSeparator" w:id="0">
    <w:p w14:paraId="7449B812" w14:textId="77777777" w:rsidR="00F17D83" w:rsidRDefault="00F17D83">
      <w:pPr>
        <w:spacing w:after="0" w:line="240" w:lineRule="auto"/>
      </w:pPr>
      <w:r>
        <w:continuationSeparator/>
      </w:r>
    </w:p>
  </w:endnote>
  <w:endnote w:type="continuationNotice" w:id="1">
    <w:p w14:paraId="4835FF02" w14:textId="77777777" w:rsidR="00F17D83" w:rsidRDefault="00F1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C53A" w14:textId="77777777" w:rsidR="00F17D83" w:rsidRDefault="00F17D83">
      <w:pPr>
        <w:spacing w:after="0" w:line="240" w:lineRule="auto"/>
      </w:pPr>
      <w:r>
        <w:separator/>
      </w:r>
    </w:p>
  </w:footnote>
  <w:footnote w:type="continuationSeparator" w:id="0">
    <w:p w14:paraId="58B5ECCB" w14:textId="77777777" w:rsidR="00F17D83" w:rsidRDefault="00F17D83">
      <w:pPr>
        <w:spacing w:after="0" w:line="240" w:lineRule="auto"/>
      </w:pPr>
      <w:r>
        <w:continuationSeparator/>
      </w:r>
    </w:p>
  </w:footnote>
  <w:footnote w:type="continuationNotice" w:id="1">
    <w:p w14:paraId="73DA7EBE" w14:textId="77777777" w:rsidR="00F17D83" w:rsidRDefault="00F17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CC3841A" w:rsidR="00DA5CDE" w:rsidRPr="000362D6"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4A555E">
      <w:rPr>
        <w:rFonts w:ascii="Times New Roman" w:eastAsia="Malgun Gothic" w:hAnsi="Times New Roman" w:cs="Times New Roman"/>
        <w:b/>
        <w:sz w:val="28"/>
        <w:szCs w:val="20"/>
        <w:lang w:val="en-GB"/>
      </w:rPr>
      <w:t>7</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5EFF"/>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4ECE"/>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2D6"/>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5F5"/>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5AA6"/>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08"/>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04B"/>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C81"/>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5E2"/>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D3"/>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73"/>
    <w:rsid w:val="001146C4"/>
    <w:rsid w:val="00114D06"/>
    <w:rsid w:val="00114F38"/>
    <w:rsid w:val="00115056"/>
    <w:rsid w:val="00115A92"/>
    <w:rsid w:val="00115CBD"/>
    <w:rsid w:val="001168A1"/>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A1A"/>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1C17"/>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3D28"/>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DE9"/>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0FD1"/>
    <w:rsid w:val="00201757"/>
    <w:rsid w:val="00201EC4"/>
    <w:rsid w:val="0020337A"/>
    <w:rsid w:val="00203E2A"/>
    <w:rsid w:val="00204032"/>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25B"/>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89C"/>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6ECD"/>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4CFE"/>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561"/>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0FE"/>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479C"/>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404"/>
    <w:rsid w:val="002D3D00"/>
    <w:rsid w:val="002D3E6A"/>
    <w:rsid w:val="002D3EAD"/>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703"/>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9F0"/>
    <w:rsid w:val="00307E15"/>
    <w:rsid w:val="00310175"/>
    <w:rsid w:val="00310C56"/>
    <w:rsid w:val="00310F55"/>
    <w:rsid w:val="0031176E"/>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6D0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3"/>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957"/>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09"/>
    <w:rsid w:val="00397976"/>
    <w:rsid w:val="00397D4E"/>
    <w:rsid w:val="00397E09"/>
    <w:rsid w:val="00397E14"/>
    <w:rsid w:val="003A0051"/>
    <w:rsid w:val="003A0495"/>
    <w:rsid w:val="003A0597"/>
    <w:rsid w:val="003A05B1"/>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1AC"/>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228"/>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6DF"/>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AF4"/>
    <w:rsid w:val="00406BA6"/>
    <w:rsid w:val="00407028"/>
    <w:rsid w:val="00407196"/>
    <w:rsid w:val="004071A5"/>
    <w:rsid w:val="00407302"/>
    <w:rsid w:val="0040777C"/>
    <w:rsid w:val="004077FB"/>
    <w:rsid w:val="0041026F"/>
    <w:rsid w:val="00410F65"/>
    <w:rsid w:val="00411765"/>
    <w:rsid w:val="0041184C"/>
    <w:rsid w:val="00411992"/>
    <w:rsid w:val="00412057"/>
    <w:rsid w:val="0041226F"/>
    <w:rsid w:val="00412361"/>
    <w:rsid w:val="0041260F"/>
    <w:rsid w:val="004127F4"/>
    <w:rsid w:val="00412AE3"/>
    <w:rsid w:val="00412B22"/>
    <w:rsid w:val="004133B2"/>
    <w:rsid w:val="0041405B"/>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6E93"/>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07"/>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55E"/>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645"/>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6E4"/>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33"/>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693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699A"/>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4D5A"/>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CAD"/>
    <w:rsid w:val="005D3DF4"/>
    <w:rsid w:val="005D44C6"/>
    <w:rsid w:val="005D46CB"/>
    <w:rsid w:val="005D4D66"/>
    <w:rsid w:val="005D4D74"/>
    <w:rsid w:val="005D53BC"/>
    <w:rsid w:val="005D55C5"/>
    <w:rsid w:val="005D561C"/>
    <w:rsid w:val="005D57D9"/>
    <w:rsid w:val="005D5C2C"/>
    <w:rsid w:val="005D5CBD"/>
    <w:rsid w:val="005D67CC"/>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800"/>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AD6"/>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4F0"/>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A5B"/>
    <w:rsid w:val="006D0B04"/>
    <w:rsid w:val="006D0B09"/>
    <w:rsid w:val="006D1382"/>
    <w:rsid w:val="006D1AB3"/>
    <w:rsid w:val="006D1C87"/>
    <w:rsid w:val="006D206B"/>
    <w:rsid w:val="006D2238"/>
    <w:rsid w:val="006D36DE"/>
    <w:rsid w:val="006D3BCD"/>
    <w:rsid w:val="006D3D18"/>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479"/>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56F"/>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727"/>
    <w:rsid w:val="007328D4"/>
    <w:rsid w:val="00732D5D"/>
    <w:rsid w:val="00732FFE"/>
    <w:rsid w:val="0073334D"/>
    <w:rsid w:val="00733504"/>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095"/>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D7F"/>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CC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1B2"/>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123"/>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6E"/>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6C"/>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1FD"/>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14"/>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7A"/>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6E6D"/>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3B"/>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3"/>
    <w:rsid w:val="008F2775"/>
    <w:rsid w:val="008F2954"/>
    <w:rsid w:val="008F2BC4"/>
    <w:rsid w:val="008F2EBD"/>
    <w:rsid w:val="008F315E"/>
    <w:rsid w:val="008F3A01"/>
    <w:rsid w:val="008F3D80"/>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603"/>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49"/>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A48"/>
    <w:rsid w:val="00950E5C"/>
    <w:rsid w:val="0095147A"/>
    <w:rsid w:val="0095197A"/>
    <w:rsid w:val="00951E97"/>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3D8C"/>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2FAC"/>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539"/>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6B3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D21"/>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CF1"/>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505"/>
    <w:rsid w:val="00AC6A1C"/>
    <w:rsid w:val="00AC6E07"/>
    <w:rsid w:val="00AC7482"/>
    <w:rsid w:val="00AC7A83"/>
    <w:rsid w:val="00AC7E57"/>
    <w:rsid w:val="00AC7E89"/>
    <w:rsid w:val="00AC7EBB"/>
    <w:rsid w:val="00AD020D"/>
    <w:rsid w:val="00AD0513"/>
    <w:rsid w:val="00AD074A"/>
    <w:rsid w:val="00AD081B"/>
    <w:rsid w:val="00AD0911"/>
    <w:rsid w:val="00AD0B47"/>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8CD"/>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5A6E"/>
    <w:rsid w:val="00B26A33"/>
    <w:rsid w:val="00B26FAA"/>
    <w:rsid w:val="00B272A7"/>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4E6D"/>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8D5"/>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4F2"/>
    <w:rsid w:val="00BC3850"/>
    <w:rsid w:val="00BC3CC7"/>
    <w:rsid w:val="00BC43C6"/>
    <w:rsid w:val="00BC4933"/>
    <w:rsid w:val="00BC4D57"/>
    <w:rsid w:val="00BC4EDC"/>
    <w:rsid w:val="00BC4F19"/>
    <w:rsid w:val="00BC5148"/>
    <w:rsid w:val="00BC51E1"/>
    <w:rsid w:val="00BC55B4"/>
    <w:rsid w:val="00BC5AB5"/>
    <w:rsid w:val="00BC5FA6"/>
    <w:rsid w:val="00BC6222"/>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3C3"/>
    <w:rsid w:val="00BE17DB"/>
    <w:rsid w:val="00BE1930"/>
    <w:rsid w:val="00BE1A67"/>
    <w:rsid w:val="00BE1BD6"/>
    <w:rsid w:val="00BE1C00"/>
    <w:rsid w:val="00BE1E00"/>
    <w:rsid w:val="00BE1E34"/>
    <w:rsid w:val="00BE1E46"/>
    <w:rsid w:val="00BE20A5"/>
    <w:rsid w:val="00BE22AE"/>
    <w:rsid w:val="00BE2D6D"/>
    <w:rsid w:val="00BE2EBC"/>
    <w:rsid w:val="00BE33B5"/>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18"/>
    <w:rsid w:val="00BF5C34"/>
    <w:rsid w:val="00BF5D17"/>
    <w:rsid w:val="00BF5F56"/>
    <w:rsid w:val="00BF5F7F"/>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38E"/>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9B2"/>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979"/>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4FE"/>
    <w:rsid w:val="00C65A47"/>
    <w:rsid w:val="00C65A9F"/>
    <w:rsid w:val="00C65B47"/>
    <w:rsid w:val="00C66053"/>
    <w:rsid w:val="00C667D9"/>
    <w:rsid w:val="00C6694A"/>
    <w:rsid w:val="00C669F9"/>
    <w:rsid w:val="00C66A81"/>
    <w:rsid w:val="00C66CB0"/>
    <w:rsid w:val="00C66ED4"/>
    <w:rsid w:val="00C673FE"/>
    <w:rsid w:val="00C710CC"/>
    <w:rsid w:val="00C7193E"/>
    <w:rsid w:val="00C71955"/>
    <w:rsid w:val="00C71AC5"/>
    <w:rsid w:val="00C71B88"/>
    <w:rsid w:val="00C71ED1"/>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1976"/>
    <w:rsid w:val="00C92171"/>
    <w:rsid w:val="00C92312"/>
    <w:rsid w:val="00C92636"/>
    <w:rsid w:val="00C92695"/>
    <w:rsid w:val="00C927E8"/>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A5"/>
    <w:rsid w:val="00C96FCE"/>
    <w:rsid w:val="00C9703A"/>
    <w:rsid w:val="00C973BB"/>
    <w:rsid w:val="00C97DB8"/>
    <w:rsid w:val="00C97F70"/>
    <w:rsid w:val="00CA03AF"/>
    <w:rsid w:val="00CA03B6"/>
    <w:rsid w:val="00CA0A31"/>
    <w:rsid w:val="00CA0BAE"/>
    <w:rsid w:val="00CA0CDA"/>
    <w:rsid w:val="00CA0F5E"/>
    <w:rsid w:val="00CA152A"/>
    <w:rsid w:val="00CA1963"/>
    <w:rsid w:val="00CA1A59"/>
    <w:rsid w:val="00CA1F48"/>
    <w:rsid w:val="00CA214A"/>
    <w:rsid w:val="00CA233E"/>
    <w:rsid w:val="00CA27E9"/>
    <w:rsid w:val="00CA28E2"/>
    <w:rsid w:val="00CA3C2A"/>
    <w:rsid w:val="00CA43E7"/>
    <w:rsid w:val="00CA449E"/>
    <w:rsid w:val="00CA4661"/>
    <w:rsid w:val="00CA466F"/>
    <w:rsid w:val="00CA49AB"/>
    <w:rsid w:val="00CA4DEC"/>
    <w:rsid w:val="00CA4E1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0F"/>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A3F"/>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58C9"/>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D64"/>
    <w:rsid w:val="00D24E0F"/>
    <w:rsid w:val="00D24E27"/>
    <w:rsid w:val="00D251C7"/>
    <w:rsid w:val="00D251F2"/>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21D"/>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6F78"/>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2F0"/>
    <w:rsid w:val="00D5644B"/>
    <w:rsid w:val="00D56484"/>
    <w:rsid w:val="00D56A0F"/>
    <w:rsid w:val="00D56B1C"/>
    <w:rsid w:val="00D56F91"/>
    <w:rsid w:val="00D57467"/>
    <w:rsid w:val="00D574A7"/>
    <w:rsid w:val="00D575C4"/>
    <w:rsid w:val="00D57942"/>
    <w:rsid w:val="00D579A9"/>
    <w:rsid w:val="00D57AD5"/>
    <w:rsid w:val="00D57D2C"/>
    <w:rsid w:val="00D57D61"/>
    <w:rsid w:val="00D602C9"/>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4F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A0C"/>
    <w:rsid w:val="00D91F78"/>
    <w:rsid w:val="00D9204A"/>
    <w:rsid w:val="00D92D9E"/>
    <w:rsid w:val="00D9369C"/>
    <w:rsid w:val="00D9385E"/>
    <w:rsid w:val="00D93E46"/>
    <w:rsid w:val="00D94114"/>
    <w:rsid w:val="00D95136"/>
    <w:rsid w:val="00D952F4"/>
    <w:rsid w:val="00D95BFF"/>
    <w:rsid w:val="00D95FB1"/>
    <w:rsid w:val="00D961F3"/>
    <w:rsid w:val="00D96452"/>
    <w:rsid w:val="00D964A0"/>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AF"/>
    <w:rsid w:val="00DD6BCB"/>
    <w:rsid w:val="00DD70C5"/>
    <w:rsid w:val="00DD71E8"/>
    <w:rsid w:val="00DD724B"/>
    <w:rsid w:val="00DD762B"/>
    <w:rsid w:val="00DD7653"/>
    <w:rsid w:val="00DD7992"/>
    <w:rsid w:val="00DD7B25"/>
    <w:rsid w:val="00DE026C"/>
    <w:rsid w:val="00DE07A1"/>
    <w:rsid w:val="00DE088D"/>
    <w:rsid w:val="00DE08C9"/>
    <w:rsid w:val="00DE0EDC"/>
    <w:rsid w:val="00DE1124"/>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34C"/>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8A7"/>
    <w:rsid w:val="00E44919"/>
    <w:rsid w:val="00E4504A"/>
    <w:rsid w:val="00E457A9"/>
    <w:rsid w:val="00E459B4"/>
    <w:rsid w:val="00E45C1B"/>
    <w:rsid w:val="00E45CC0"/>
    <w:rsid w:val="00E4645D"/>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0E95"/>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7AD"/>
    <w:rsid w:val="00EB3C79"/>
    <w:rsid w:val="00EB42CC"/>
    <w:rsid w:val="00EB4345"/>
    <w:rsid w:val="00EB48EA"/>
    <w:rsid w:val="00EB5118"/>
    <w:rsid w:val="00EB5BC1"/>
    <w:rsid w:val="00EB5CC3"/>
    <w:rsid w:val="00EB5DC8"/>
    <w:rsid w:val="00EB627F"/>
    <w:rsid w:val="00EB63BC"/>
    <w:rsid w:val="00EB676D"/>
    <w:rsid w:val="00EB6790"/>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5B5"/>
    <w:rsid w:val="00EC3D53"/>
    <w:rsid w:val="00EC406E"/>
    <w:rsid w:val="00EC40C5"/>
    <w:rsid w:val="00EC4289"/>
    <w:rsid w:val="00EC42D6"/>
    <w:rsid w:val="00EC5078"/>
    <w:rsid w:val="00EC5121"/>
    <w:rsid w:val="00EC5535"/>
    <w:rsid w:val="00EC58F7"/>
    <w:rsid w:val="00EC5AB9"/>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ACF"/>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0DD2"/>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17D83"/>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2C"/>
    <w:rsid w:val="00F33FF1"/>
    <w:rsid w:val="00F34CCA"/>
    <w:rsid w:val="00F353C4"/>
    <w:rsid w:val="00F357D8"/>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770"/>
    <w:rsid w:val="00F858A8"/>
    <w:rsid w:val="00F85A2A"/>
    <w:rsid w:val="00F85E43"/>
    <w:rsid w:val="00F8601E"/>
    <w:rsid w:val="00F86027"/>
    <w:rsid w:val="00F863D4"/>
    <w:rsid w:val="00F86764"/>
    <w:rsid w:val="00F869C8"/>
    <w:rsid w:val="00F86A42"/>
    <w:rsid w:val="00F871BD"/>
    <w:rsid w:val="00F876B3"/>
    <w:rsid w:val="00F877CE"/>
    <w:rsid w:val="00F87B84"/>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2EB"/>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EBF"/>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 w:type="character" w:customStyle="1" w:styleId="cf01">
    <w:name w:val="cf01"/>
    <w:basedOn w:val="DefaultParagraphFont"/>
    <w:rsid w:val="000362D6"/>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138715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8773970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4</cp:revision>
  <dcterms:created xsi:type="dcterms:W3CDTF">2022-12-13T22:07:00Z</dcterms:created>
  <dcterms:modified xsi:type="dcterms:W3CDTF">2022-12-14T06:27:00Z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