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540A53C" w:rsidR="00BD6FB0" w:rsidRPr="004B1506" w:rsidRDefault="00B6039F" w:rsidP="007535E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7535ED">
              <w:rPr>
                <w:b/>
                <w:sz w:val="28"/>
                <w:szCs w:val="28"/>
                <w:lang w:val="en-US" w:eastAsia="ko-KR"/>
              </w:rPr>
              <w:t xml:space="preserve">36.3.2.6 </w:t>
            </w:r>
            <w:r w:rsidR="007535ED">
              <w:rPr>
                <w:rFonts w:hint="eastAsia"/>
                <w:b/>
                <w:sz w:val="28"/>
                <w:szCs w:val="28"/>
                <w:lang w:val="en-US" w:eastAsia="ko-KR"/>
              </w:rPr>
              <w:t>RU and MRU restrictions</w:t>
            </w:r>
            <w:r w:rsidR="007535ED">
              <w:rPr>
                <w:b/>
                <w:sz w:val="28"/>
                <w:szCs w:val="28"/>
                <w:lang w:val="en-US" w:eastAsia="ko-KR"/>
              </w:rPr>
              <w:t xml:space="preserve"> for 20 MHz operation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D9EE9B1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760E88">
              <w:t>08</w:t>
            </w:r>
            <w:r w:rsidR="00361A7D">
              <w:t>-</w:t>
            </w:r>
            <w:r w:rsidR="00990020">
              <w:rPr>
                <w:rFonts w:hint="eastAsia"/>
                <w:lang w:eastAsia="ko-KR"/>
              </w:rPr>
              <w:t>08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22B1A808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D2490E">
        <w:rPr>
          <w:lang w:eastAsia="ko-KR"/>
        </w:rPr>
        <w:t xml:space="preserve"> </w:t>
      </w:r>
      <w:r w:rsidR="007535ED">
        <w:rPr>
          <w:lang w:eastAsia="ko-KR"/>
        </w:rPr>
        <w:t>12515 and 12516</w:t>
      </w:r>
      <w:r w:rsidR="005B3D7E">
        <w:rPr>
          <w:lang w:eastAsia="ko-KR"/>
        </w:rPr>
        <w:t>.</w:t>
      </w:r>
    </w:p>
    <w:p w14:paraId="43BDA1A3" w14:textId="77777777" w:rsidR="004A5889" w:rsidRDefault="004A5889" w:rsidP="00DF3C0B">
      <w:pPr>
        <w:jc w:val="both"/>
        <w:rPr>
          <w:lang w:eastAsia="ko-KR"/>
        </w:rPr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B92D620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95166A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1A24DD2F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95166A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09E34A3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7535ED">
        <w:rPr>
          <w:i/>
          <w:sz w:val="22"/>
          <w:szCs w:val="22"/>
          <w:lang w:eastAsia="ko-KR"/>
        </w:rPr>
        <w:t>2515</w:t>
      </w:r>
      <w:r w:rsidR="00B53279">
        <w:rPr>
          <w:i/>
          <w:sz w:val="22"/>
          <w:szCs w:val="22"/>
          <w:lang w:eastAsia="ko-KR"/>
        </w:rPr>
        <w:t xml:space="preserve">, </w:t>
      </w:r>
      <w:r w:rsidR="00D2490E">
        <w:rPr>
          <w:i/>
          <w:sz w:val="22"/>
          <w:szCs w:val="22"/>
          <w:lang w:eastAsia="ko-KR"/>
        </w:rPr>
        <w:t>12</w:t>
      </w:r>
      <w:r w:rsidR="007535ED">
        <w:rPr>
          <w:i/>
          <w:sz w:val="22"/>
          <w:szCs w:val="22"/>
          <w:lang w:eastAsia="ko-KR"/>
        </w:rPr>
        <w:t>516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1E2B5557" w:rsidR="008A4A5E" w:rsidRPr="009217A9" w:rsidRDefault="004A5889" w:rsidP="007535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535ED">
              <w:rPr>
                <w:rFonts w:ascii="Arial" w:hAnsi="Arial" w:cs="Arial"/>
                <w:sz w:val="20"/>
              </w:rPr>
              <w:t>2515</w:t>
            </w:r>
          </w:p>
        </w:tc>
        <w:tc>
          <w:tcPr>
            <w:tcW w:w="1134" w:type="dxa"/>
            <w:shd w:val="clear" w:color="auto" w:fill="auto"/>
          </w:tcPr>
          <w:p w14:paraId="522C2A34" w14:textId="5F77B042" w:rsidR="008A4A5E" w:rsidRPr="009217A9" w:rsidRDefault="00887CFD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</w:t>
            </w:r>
            <w:r w:rsidR="004A588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="007535E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35BF904" w14:textId="595B5D76" w:rsidR="008A4A5E" w:rsidRPr="009217A9" w:rsidRDefault="00D2490E" w:rsidP="007535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</w:t>
            </w:r>
            <w:r w:rsidR="007535E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7535E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7A6CC60C" w14:textId="3332C71A" w:rsidR="008A4A5E" w:rsidRPr="009217A9" w:rsidRDefault="007535ED" w:rsidP="00D2490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535ED">
              <w:rPr>
                <w:rFonts w:ascii="Arial" w:hAnsi="Arial" w:cs="Arial"/>
                <w:sz w:val="20"/>
              </w:rPr>
              <w:t>"A 20 MHz operating non-AP EHT STA does not support any 106+26-tone MRUs for 40 MHz, 80 MHz, 160 MHz, and 320 MHz EHT MU PPDU (receive) and EHT TB PPDU (transmit)" - Here it is restricting the use of 106+26 MRU , we propose to make it optional</w:t>
            </w:r>
          </w:p>
        </w:tc>
        <w:tc>
          <w:tcPr>
            <w:tcW w:w="2126" w:type="dxa"/>
            <w:shd w:val="clear" w:color="auto" w:fill="auto"/>
          </w:tcPr>
          <w:p w14:paraId="39F6B205" w14:textId="6BFCCC0E" w:rsidR="008A4A5E" w:rsidRPr="009217A9" w:rsidRDefault="007535ED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7535ED">
              <w:rPr>
                <w:rFonts w:ascii="Arial" w:hAnsi="Arial" w:cs="Arial"/>
                <w:sz w:val="20"/>
              </w:rPr>
              <w:t>We want the proposed change as -"A 20 MHz operating non-AP EHT STA may support any 106+26-tone MRUs for 40 MHz, 80 MHz, 160 MHz, and 320 MHz EHT MU PPDU (receive) and EHT TB PPDU (transmit)."</w:t>
            </w:r>
          </w:p>
        </w:tc>
        <w:tc>
          <w:tcPr>
            <w:tcW w:w="2665" w:type="dxa"/>
            <w:shd w:val="clear" w:color="auto" w:fill="auto"/>
          </w:tcPr>
          <w:p w14:paraId="7CDA142A" w14:textId="0283602D" w:rsidR="00C328F2" w:rsidRDefault="007535ED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784FE2BB" w:rsidR="009A49E5" w:rsidRPr="00D2490E" w:rsidRDefault="00282CD5" w:rsidP="00BF1B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Since the tone plans between 20 MHz and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wider bandwidth are not aligned,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some tones of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106+26-tone MRUs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a wider bandwidth fall into DC tones of 20 MHz operation which </w:t>
            </w:r>
            <w:r w:rsidR="00E3135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results 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pe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rforamance</w:t>
            </w:r>
            <w:proofErr w:type="spellEnd"/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degrad</w:t>
            </w:r>
            <w:r w:rsidR="00686CD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ation. Hence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11be has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reached agreement on restriction of 106+26</w:t>
            </w:r>
            <w:r w:rsidR="00BF1B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-tone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MRUs in a wider bandwidth</w:t>
            </w:r>
            <w:r w:rsidR="00BF1B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transmission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BF1B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Please refer to</w:t>
            </w:r>
            <w:r w:rsidR="00BF1B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Motion 137, #SP272.</w:t>
            </w:r>
          </w:p>
        </w:tc>
      </w:tr>
      <w:tr w:rsidR="00773AE5" w:rsidRPr="00821890" w14:paraId="588B98A6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C61A1E6" w14:textId="02D859E7" w:rsidR="00773AE5" w:rsidRDefault="00773AE5" w:rsidP="007535E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</w:t>
            </w:r>
            <w:r w:rsidR="007535ED">
              <w:rPr>
                <w:rFonts w:ascii="Arial" w:hAnsi="Arial" w:cs="Arial"/>
                <w:sz w:val="20"/>
                <w:lang w:eastAsia="ko-KR"/>
              </w:rPr>
              <w:t>516</w:t>
            </w:r>
          </w:p>
        </w:tc>
        <w:tc>
          <w:tcPr>
            <w:tcW w:w="1134" w:type="dxa"/>
            <w:shd w:val="clear" w:color="auto" w:fill="auto"/>
          </w:tcPr>
          <w:p w14:paraId="788CDA74" w14:textId="778DB841" w:rsidR="00773AE5" w:rsidRDefault="00773AE5" w:rsidP="00773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</w:t>
            </w:r>
            <w:r w:rsidR="007535E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EA5958B" w14:textId="5072BECE" w:rsidR="00773AE5" w:rsidRDefault="00773AE5" w:rsidP="007535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60</w:t>
            </w:r>
            <w:r w:rsidR="007535E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 w:rsidR="007535E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14:paraId="4166C3A6" w14:textId="3F1C6FB7" w:rsidR="00773AE5" w:rsidRPr="0095166A" w:rsidRDefault="007535ED" w:rsidP="00773AE5">
            <w:pPr>
              <w:rPr>
                <w:rFonts w:ascii="Arial" w:hAnsi="Arial" w:cs="Arial"/>
                <w:sz w:val="20"/>
              </w:rPr>
            </w:pPr>
            <w:r w:rsidRPr="007535ED">
              <w:rPr>
                <w:rFonts w:ascii="Arial" w:hAnsi="Arial" w:cs="Arial"/>
                <w:sz w:val="20"/>
              </w:rPr>
              <w:t>"A 20 MHz operating non-AP EHT STA does not support any 242-tone RUs for 40 MHz, 80 MHz, 160 MHz, and 320 MHz EHT TB PPDU (transmit)"- Here 242 -tone RU TB-PPDU transmission in 20 in X scenarios is restricted, we propose to make it optional.</w:t>
            </w:r>
          </w:p>
        </w:tc>
        <w:tc>
          <w:tcPr>
            <w:tcW w:w="2126" w:type="dxa"/>
            <w:shd w:val="clear" w:color="auto" w:fill="auto"/>
          </w:tcPr>
          <w:p w14:paraId="1E6C7C17" w14:textId="624618C8" w:rsidR="00773AE5" w:rsidRPr="004A5889" w:rsidRDefault="007535ED" w:rsidP="00773AE5">
            <w:pPr>
              <w:rPr>
                <w:rFonts w:ascii="Arial" w:hAnsi="Arial" w:cs="Arial"/>
                <w:sz w:val="20"/>
              </w:rPr>
            </w:pPr>
            <w:r w:rsidRPr="007535ED">
              <w:rPr>
                <w:rFonts w:ascii="Arial" w:hAnsi="Arial" w:cs="Arial"/>
                <w:sz w:val="20"/>
              </w:rPr>
              <w:t>We want the proposed change as -"A 20 MHz operating non-AP EHT STA may support any 242-tone RUs for 40 MHz, 80 MHz, 160 MHz, and 320 MHz EHT TB PPDU (transmit)"</w:t>
            </w:r>
          </w:p>
        </w:tc>
        <w:tc>
          <w:tcPr>
            <w:tcW w:w="2665" w:type="dxa"/>
            <w:shd w:val="clear" w:color="auto" w:fill="auto"/>
          </w:tcPr>
          <w:p w14:paraId="78563BE4" w14:textId="77777777" w:rsidR="00BF1BBC" w:rsidRDefault="00BF1BBC" w:rsidP="00BF1B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1F448115" w14:textId="77777777" w:rsidR="00BF1BBC" w:rsidRDefault="00BF1BBC" w:rsidP="00BF1B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2E14E74" w14:textId="18D7A623" w:rsidR="00773AE5" w:rsidRDefault="00BF1BBC" w:rsidP="00686CD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Since the tone plans between 20 MHz and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wider bandwidth are not aligned,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 tones of 242-tone RUs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a wider bandwidth fall into DC tones of 20 MHz operation which 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results in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perf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oramance</w:t>
            </w:r>
            <w:proofErr w:type="spellEnd"/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degradation. Since th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e ratio of 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those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affected tones is less than that of 106+26-tone MRU or 106+52-tone MRU, 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242-tone RUs have been optionally allowed for </w:t>
            </w:r>
            <w:r w:rsidR="00686CD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 wider bandwidth 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DL OFDMA. However,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UL OFDMA is much more vulnerable since it needs more accurate synchronization. </w:t>
            </w:r>
            <w:r w:rsidR="00686CD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Hence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E3135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11be has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reached agreement on restriction of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242-tone RUs in a wider bandwidth UL OFDMA</w:t>
            </w:r>
            <w:r w:rsidR="00C637B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transmission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Please refer to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Motion 144, #SP331.</w:t>
            </w:r>
          </w:p>
        </w:tc>
      </w:tr>
    </w:tbl>
    <w:p w14:paraId="7F529C9D" w14:textId="28949720" w:rsidR="000276A8" w:rsidRDefault="000276A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0276A8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A565B" w14:textId="77777777" w:rsidR="00297FD8" w:rsidRDefault="00297FD8">
      <w:r>
        <w:separator/>
      </w:r>
    </w:p>
  </w:endnote>
  <w:endnote w:type="continuationSeparator" w:id="0">
    <w:p w14:paraId="24AB379C" w14:textId="77777777" w:rsidR="00297FD8" w:rsidRDefault="0029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90020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51BC2" w14:textId="77777777" w:rsidR="00297FD8" w:rsidRDefault="00297FD8">
      <w:r>
        <w:separator/>
      </w:r>
    </w:p>
  </w:footnote>
  <w:footnote w:type="continuationSeparator" w:id="0">
    <w:p w14:paraId="0C02C934" w14:textId="77777777" w:rsidR="00297FD8" w:rsidRDefault="0029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B0F69FF" w:rsidR="007D67F8" w:rsidRDefault="00760E88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7D67F8">
      <w:rPr>
        <w:lang w:eastAsia="ko-KR"/>
      </w:rPr>
      <w:t xml:space="preserve"> 20</w:t>
    </w:r>
    <w:r w:rsidR="00B6039F">
      <w:t>22</w:t>
    </w:r>
    <w:r w:rsidR="007D67F8">
      <w:tab/>
    </w:r>
    <w:r w:rsidR="007D67F8">
      <w:tab/>
    </w:r>
    <w:r w:rsidR="00297FD8">
      <w:fldChar w:fldCharType="begin"/>
    </w:r>
    <w:r w:rsidR="00297FD8">
      <w:instrText xml:space="preserve"> TITLE  \* MERGEFORMAT </w:instrText>
    </w:r>
    <w:r w:rsidR="00297FD8">
      <w:fldChar w:fldCharType="separate"/>
    </w:r>
    <w:r w:rsidR="007D67F8">
      <w:t>doc.: IEEE 802.11-2</w:t>
    </w:r>
    <w:r w:rsidR="00B6039F">
      <w:t>2</w:t>
    </w:r>
    <w:r w:rsidR="007D67F8">
      <w:t>/</w:t>
    </w:r>
    <w:r w:rsidR="00297FD8">
      <w:fldChar w:fldCharType="end"/>
    </w:r>
    <w:r w:rsidR="00990020">
      <w:rPr>
        <w:rFonts w:hint="eastAsia"/>
        <w:lang w:eastAsia="ko-KR"/>
      </w:rPr>
      <w:t>1289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2801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2CD5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97FD8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6A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D19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2C26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3D7E"/>
    <w:rsid w:val="005B4E1F"/>
    <w:rsid w:val="005B607D"/>
    <w:rsid w:val="005C004F"/>
    <w:rsid w:val="005C0130"/>
    <w:rsid w:val="005C03FC"/>
    <w:rsid w:val="005C1214"/>
    <w:rsid w:val="005C61A4"/>
    <w:rsid w:val="005D16E9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86CD8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35ED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3AE5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0B0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20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1058"/>
    <w:rsid w:val="009B2F7F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21BF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97F9E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46E"/>
    <w:rsid w:val="00B42D23"/>
    <w:rsid w:val="00B43FF3"/>
    <w:rsid w:val="00B44120"/>
    <w:rsid w:val="00B459BC"/>
    <w:rsid w:val="00B51BA4"/>
    <w:rsid w:val="00B52590"/>
    <w:rsid w:val="00B53279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1BB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3B0"/>
    <w:rsid w:val="00C168BC"/>
    <w:rsid w:val="00C17431"/>
    <w:rsid w:val="00C17D7B"/>
    <w:rsid w:val="00C17DCE"/>
    <w:rsid w:val="00C22D66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37BA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E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490E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353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217D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373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47D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2171995-7A2C-4D5B-BCB6-17875BF8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970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150</cp:revision>
  <cp:lastPrinted>2016-01-08T21:12:00Z</cp:lastPrinted>
  <dcterms:created xsi:type="dcterms:W3CDTF">2019-07-16T14:40:00Z</dcterms:created>
  <dcterms:modified xsi:type="dcterms:W3CDTF">2022-08-07T22:12:00Z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