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A062577" w:rsidR="00BD6FB0" w:rsidRPr="004B1506" w:rsidRDefault="00B6039F" w:rsidP="004A58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LB266</w:t>
            </w:r>
            <w:r w:rsidR="00CD48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for </w:t>
            </w:r>
            <w:r w:rsidR="004A5889">
              <w:rPr>
                <w:b/>
                <w:sz w:val="28"/>
                <w:szCs w:val="28"/>
                <w:lang w:val="en-US" w:eastAsia="ko-KR"/>
              </w:rPr>
              <w:t>36.3.2.3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4A5889">
              <w:rPr>
                <w:rFonts w:hint="eastAsia"/>
                <w:b/>
                <w:sz w:val="28"/>
                <w:szCs w:val="28"/>
                <w:lang w:val="en-US" w:eastAsia="ko-KR"/>
              </w:rPr>
              <w:t>Null Subcarriers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0E7E92C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B6039F">
              <w:t>22</w:t>
            </w:r>
            <w:r w:rsidR="00361A7D">
              <w:t>-</w:t>
            </w:r>
            <w:r w:rsidR="00760E88">
              <w:t>08</w:t>
            </w:r>
            <w:r w:rsidR="00361A7D">
              <w:t>-</w:t>
            </w:r>
            <w:r w:rsidR="005D28B6">
              <w:rPr>
                <w:rFonts w:hint="eastAsia"/>
                <w:lang w:eastAsia="ko-KR"/>
              </w:rPr>
              <w:t>01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4F6922A3" w14:textId="3858DA5B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137885">
        <w:rPr>
          <w:lang w:eastAsia="ko-KR"/>
        </w:rPr>
        <w:t>CID</w:t>
      </w:r>
      <w:r w:rsidR="004A5889">
        <w:rPr>
          <w:lang w:eastAsia="ko-KR"/>
        </w:rPr>
        <w:t xml:space="preserve"> 11340</w:t>
      </w:r>
    </w:p>
    <w:p w14:paraId="43BDA1A3" w14:textId="77777777" w:rsidR="004A5889" w:rsidRDefault="004A5889" w:rsidP="00DF3C0B">
      <w:pPr>
        <w:jc w:val="both"/>
        <w:rPr>
          <w:lang w:eastAsia="ko-KR"/>
        </w:rPr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E37C341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B6039F">
        <w:rPr>
          <w:lang w:eastAsia="ko-KR"/>
        </w:rPr>
        <w:t>2</w:t>
      </w:r>
      <w:r w:rsidR="00137885">
        <w:rPr>
          <w:lang w:eastAsia="ko-KR"/>
        </w:rPr>
        <w:t>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4BE9E5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B6039F">
        <w:rPr>
          <w:b/>
          <w:bCs/>
          <w:i/>
          <w:iCs/>
          <w:lang w:eastAsia="ko-KR"/>
        </w:rPr>
        <w:t>2</w:t>
      </w:r>
      <w:r w:rsidR="00137885">
        <w:rPr>
          <w:b/>
          <w:bCs/>
          <w:i/>
          <w:iCs/>
          <w:lang w:eastAsia="ko-KR"/>
        </w:rPr>
        <w:t>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4CCD76D0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760E88">
        <w:rPr>
          <w:i/>
          <w:sz w:val="22"/>
          <w:szCs w:val="22"/>
          <w:lang w:eastAsia="ko-KR"/>
        </w:rPr>
        <w:t>1</w:t>
      </w:r>
      <w:r w:rsidR="004A5889">
        <w:rPr>
          <w:i/>
          <w:sz w:val="22"/>
          <w:szCs w:val="22"/>
          <w:lang w:eastAsia="ko-KR"/>
        </w:rPr>
        <w:t>1340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2410"/>
        <w:gridCol w:w="2126"/>
        <w:gridCol w:w="2665"/>
      </w:tblGrid>
      <w:tr w:rsidR="00CE64CC" w14:paraId="4452D94E" w14:textId="77777777" w:rsidTr="00887CFD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18078580" w:rsidR="008A4A5E" w:rsidRPr="009217A9" w:rsidRDefault="004A5889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11340</w:t>
            </w:r>
          </w:p>
        </w:tc>
        <w:tc>
          <w:tcPr>
            <w:tcW w:w="1134" w:type="dxa"/>
            <w:shd w:val="clear" w:color="auto" w:fill="auto"/>
          </w:tcPr>
          <w:p w14:paraId="522C2A34" w14:textId="374551C4" w:rsidR="008A4A5E" w:rsidRPr="009217A9" w:rsidRDefault="00887CFD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</w:t>
            </w:r>
            <w:r w:rsidR="004A5889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="004A588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35BF904" w14:textId="015EB180" w:rsidR="008A4A5E" w:rsidRPr="009217A9" w:rsidRDefault="004A5889" w:rsidP="00760E8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598.57</w:t>
            </w:r>
          </w:p>
        </w:tc>
        <w:tc>
          <w:tcPr>
            <w:tcW w:w="2410" w:type="dxa"/>
            <w:shd w:val="clear" w:color="auto" w:fill="auto"/>
          </w:tcPr>
          <w:p w14:paraId="437F86D4" w14:textId="77777777" w:rsidR="004A5889" w:rsidRPr="004A5889" w:rsidRDefault="004A5889" w:rsidP="004A5889">
            <w:pPr>
              <w:rPr>
                <w:rFonts w:ascii="Arial" w:hAnsi="Arial" w:cs="Arial"/>
                <w:sz w:val="20"/>
              </w:rPr>
            </w:pPr>
            <w:r w:rsidRPr="004A5889">
              <w:rPr>
                <w:rFonts w:ascii="Arial" w:hAnsi="Arial" w:cs="Arial"/>
                <w:sz w:val="20"/>
              </w:rPr>
              <w:t>"There are null subcarriers between the 26- and 52-tone RU locations for 20</w:t>
            </w:r>
          </w:p>
          <w:p w14:paraId="0E644AD6" w14:textId="77777777" w:rsidR="004A5889" w:rsidRPr="004A5889" w:rsidRDefault="004A5889" w:rsidP="004A5889">
            <w:pPr>
              <w:rPr>
                <w:rFonts w:ascii="Arial" w:hAnsi="Arial" w:cs="Arial"/>
                <w:sz w:val="20"/>
              </w:rPr>
            </w:pPr>
            <w:r w:rsidRPr="004A5889">
              <w:rPr>
                <w:rFonts w:ascii="Arial" w:hAnsi="Arial" w:cs="Arial"/>
                <w:sz w:val="20"/>
              </w:rPr>
              <w:t>MHz, 26-, 52-, and 106-tone RU locations for 40</w:t>
            </w:r>
          </w:p>
          <w:p w14:paraId="7A6CC60C" w14:textId="3897A2B9" w:rsidR="008A4A5E" w:rsidRPr="009217A9" w:rsidRDefault="004A5889" w:rsidP="004A5889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gramStart"/>
            <w:r w:rsidRPr="004A5889">
              <w:rPr>
                <w:rFonts w:ascii="Arial" w:hAnsi="Arial" w:cs="Arial"/>
                <w:sz w:val="20"/>
              </w:rPr>
              <w:t>),....</w:t>
            </w:r>
            <w:proofErr w:type="gramEnd"/>
            <w:r w:rsidRPr="004A5889">
              <w:rPr>
                <w:rFonts w:ascii="Arial" w:hAnsi="Arial" w:cs="Arial"/>
                <w:sz w:val="20"/>
              </w:rPr>
              <w:t xml:space="preserve"> respectively.". This statement is </w:t>
            </w:r>
            <w:proofErr w:type="spellStart"/>
            <w:r w:rsidRPr="004A5889">
              <w:rPr>
                <w:rFonts w:ascii="Arial" w:hAnsi="Arial" w:cs="Arial"/>
                <w:sz w:val="20"/>
              </w:rPr>
              <w:t>imcomplete</w:t>
            </w:r>
            <w:proofErr w:type="spellEnd"/>
            <w:r w:rsidRPr="004A5889">
              <w:rPr>
                <w:rFonts w:ascii="Arial" w:hAnsi="Arial" w:cs="Arial"/>
                <w:sz w:val="20"/>
              </w:rPr>
              <w:t xml:space="preserve"> since it doesn't cover the 160 and 320Mhz PPDU case. Either remove this statement or add text for 160 and 320Mhz BW</w:t>
            </w:r>
          </w:p>
        </w:tc>
        <w:tc>
          <w:tcPr>
            <w:tcW w:w="2126" w:type="dxa"/>
            <w:shd w:val="clear" w:color="auto" w:fill="auto"/>
          </w:tcPr>
          <w:p w14:paraId="39F6B205" w14:textId="0DB8E148" w:rsidR="008A4A5E" w:rsidRPr="009217A9" w:rsidRDefault="004A5889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4A5889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665" w:type="dxa"/>
            <w:shd w:val="clear" w:color="auto" w:fill="auto"/>
          </w:tcPr>
          <w:p w14:paraId="7CDA142A" w14:textId="54FFD59A" w:rsidR="00C328F2" w:rsidRDefault="00137885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</w:t>
            </w:r>
            <w:r w:rsidR="00E33BD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vised</w:t>
            </w:r>
          </w:p>
          <w:p w14:paraId="7D28931A" w14:textId="77777777" w:rsidR="008A74DF" w:rsidRDefault="008A74DF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C11968C" w14:textId="3000B837" w:rsidR="00760E88" w:rsidRDefault="004A5889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The corresponding sentence is redundant since the null subcarrier indices are described in the last </w:t>
            </w:r>
            <w:r w:rsidR="004C722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two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sentence</w:t>
            </w:r>
            <w:r w:rsidR="004C722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of the</w:t>
            </w:r>
            <w:r w:rsidR="004C722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first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paragraph</w:t>
            </w:r>
            <w:r w:rsidR="004C722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36.3.2.3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29C95C71" w14:textId="77777777" w:rsidR="00760E88" w:rsidRDefault="00760E88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ABD7D5C" w14:textId="77777777" w:rsidR="004A5889" w:rsidRPr="004A5889" w:rsidRDefault="008A74DF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</w:t>
            </w:r>
            <w:r w:rsid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Delete the sentence “</w:t>
            </w:r>
            <w:r w:rsidR="004A5889" w:rsidRP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There are null subcarriers between the 26- and 52-tone RU locations for 20</w:t>
            </w:r>
          </w:p>
          <w:p w14:paraId="527F35EC" w14:textId="77777777" w:rsidR="004A5889" w:rsidRPr="004A5889" w:rsidRDefault="004A5889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MHz, 26-, 52-, and 106-tone RU locations for 40</w:t>
            </w:r>
          </w:p>
          <w:p w14:paraId="7544702E" w14:textId="77777777" w:rsidR="004A5889" w:rsidRPr="004A5889" w:rsidRDefault="004A5889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MHz, and 26-, 52-, 106-, 242-, and 484-tone RU locations for 80</w:t>
            </w:r>
          </w:p>
          <w:p w14:paraId="5D907F8F" w14:textId="77777777" w:rsidR="004A5889" w:rsidRPr="004A5889" w:rsidRDefault="004A5889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MHz as illustrated in Figure</w:t>
            </w:r>
          </w:p>
          <w:p w14:paraId="0B7A6BB1" w14:textId="77777777" w:rsidR="004A5889" w:rsidRPr="004A5889" w:rsidRDefault="004A5889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27-5</w:t>
            </w:r>
          </w:p>
          <w:p w14:paraId="72821780" w14:textId="77777777" w:rsidR="004A5889" w:rsidRPr="004A5889" w:rsidRDefault="004A5889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(RU locations in a 20</w:t>
            </w:r>
          </w:p>
          <w:p w14:paraId="03CC7E2B" w14:textId="77777777" w:rsidR="004A5889" w:rsidRPr="004A5889" w:rsidRDefault="004A5889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MHz HE PPDU), Figure</w:t>
            </w:r>
          </w:p>
          <w:p w14:paraId="5710E40D" w14:textId="77777777" w:rsidR="004A5889" w:rsidRPr="004A5889" w:rsidRDefault="004A5889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27-6</w:t>
            </w:r>
          </w:p>
          <w:p w14:paraId="3E09BBE9" w14:textId="77777777" w:rsidR="004A5889" w:rsidRPr="004A5889" w:rsidRDefault="004A5889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(RU locations in a 40</w:t>
            </w:r>
          </w:p>
          <w:p w14:paraId="167AB6C9" w14:textId="77777777" w:rsidR="004A5889" w:rsidRPr="004A5889" w:rsidRDefault="004A5889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MHz HE PPDU) and</w:t>
            </w:r>
          </w:p>
          <w:p w14:paraId="7CC2E806" w14:textId="77777777" w:rsidR="004A5889" w:rsidRPr="004A5889" w:rsidRDefault="004A5889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Figure</w:t>
            </w:r>
          </w:p>
          <w:p w14:paraId="5C4C386C" w14:textId="77777777" w:rsidR="004A5889" w:rsidRPr="004A5889" w:rsidRDefault="004A5889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36-4 (RU locations in an 80</w:t>
            </w:r>
          </w:p>
          <w:p w14:paraId="5EBF785A" w14:textId="4AD895F7" w:rsidR="009A49E5" w:rsidRPr="00137885" w:rsidRDefault="004A5889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A588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MHz EHT PPDU), respectively.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”.</w:t>
            </w:r>
            <w:proofErr w:type="gramEnd"/>
          </w:p>
        </w:tc>
      </w:tr>
    </w:tbl>
    <w:p w14:paraId="6FBB4CF0" w14:textId="3A102C3A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5282325" w14:textId="6BB718D4" w:rsidR="00C402C4" w:rsidRPr="00C402C4" w:rsidRDefault="00C402C4" w:rsidP="00BD5D63">
      <w:pPr>
        <w:autoSpaceDE w:val="0"/>
        <w:autoSpaceDN w:val="0"/>
        <w:adjustRightInd w:val="0"/>
        <w:jc w:val="both"/>
        <w:rPr>
          <w:rStyle w:val="SC13204878"/>
          <w:b/>
          <w:sz w:val="22"/>
          <w:lang w:eastAsia="ko-KR"/>
        </w:rPr>
      </w:pPr>
      <w:r w:rsidRPr="00C402C4">
        <w:rPr>
          <w:rStyle w:val="SC13204878"/>
          <w:rFonts w:hint="eastAsia"/>
          <w:b/>
          <w:sz w:val="22"/>
          <w:lang w:eastAsia="ko-KR"/>
        </w:rPr>
        <w:t>Discussion</w:t>
      </w:r>
    </w:p>
    <w:p w14:paraId="51603B5F" w14:textId="7126CB9B" w:rsidR="001D0FCC" w:rsidRDefault="001D0FCC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1D0FCC">
        <w:rPr>
          <w:rStyle w:val="SC13204878"/>
          <w:noProof/>
          <w:lang w:val="en-US" w:eastAsia="ko-KR"/>
        </w:rPr>
        <w:lastRenderedPageBreak/>
        <w:drawing>
          <wp:inline distT="0" distB="0" distL="0" distR="0" wp14:anchorId="785DDC49" wp14:editId="46DB57D5">
            <wp:extent cx="5947410" cy="150558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2881F" w14:textId="6344FEAF" w:rsidR="001D0FCC" w:rsidRDefault="001D0FCC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1D0FCC">
        <w:rPr>
          <w:rStyle w:val="SC13204878"/>
          <w:noProof/>
          <w:lang w:val="en-US" w:eastAsia="ko-KR"/>
        </w:rPr>
        <w:drawing>
          <wp:inline distT="0" distB="0" distL="0" distR="0" wp14:anchorId="68EB6B05" wp14:editId="6157A806">
            <wp:extent cx="5947410" cy="340360"/>
            <wp:effectExtent l="0" t="0" r="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FCC" w:rsidSect="00820EB1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1ECE2" w14:textId="77777777" w:rsidR="007341C6" w:rsidRDefault="007341C6">
      <w:r>
        <w:separator/>
      </w:r>
    </w:p>
  </w:endnote>
  <w:endnote w:type="continuationSeparator" w:id="0">
    <w:p w14:paraId="338636BE" w14:textId="77777777" w:rsidR="007341C6" w:rsidRDefault="0073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7D67F8" w:rsidRDefault="007D67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9068B">
      <w:rPr>
        <w:noProof/>
      </w:rPr>
      <w:t>3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7D67F8" w:rsidRDefault="007D67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0D233" w14:textId="77777777" w:rsidR="007341C6" w:rsidRDefault="007341C6">
      <w:r>
        <w:separator/>
      </w:r>
    </w:p>
  </w:footnote>
  <w:footnote w:type="continuationSeparator" w:id="0">
    <w:p w14:paraId="5560A9AF" w14:textId="77777777" w:rsidR="007341C6" w:rsidRDefault="0073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757FD806" w:rsidR="007D67F8" w:rsidRDefault="00760E88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7D67F8">
      <w:rPr>
        <w:lang w:eastAsia="ko-KR"/>
      </w:rPr>
      <w:t xml:space="preserve"> 20</w:t>
    </w:r>
    <w:r w:rsidR="00B6039F">
      <w:t>22</w:t>
    </w:r>
    <w:r w:rsidR="007D67F8">
      <w:tab/>
    </w:r>
    <w:r w:rsidR="007D67F8">
      <w:tab/>
    </w:r>
    <w:fldSimple w:instr=" TITLE  \* MERGEFORMAT ">
      <w:r w:rsidR="007D67F8">
        <w:t>doc.: IEEE 802.11-2</w:t>
      </w:r>
      <w:r w:rsidR="00B6039F">
        <w:t>2</w:t>
      </w:r>
      <w:r w:rsidR="007D67F8">
        <w:t>/</w:t>
      </w:r>
    </w:fldSimple>
    <w:r w:rsidR="0039068B">
      <w:rPr>
        <w:lang w:eastAsia="ko-KR"/>
      </w:rPr>
      <w:t>1227</w:t>
    </w:r>
    <w:r w:rsidR="007D67F8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AF3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FD6"/>
    <w:rsid w:val="00092C59"/>
    <w:rsid w:val="00093B83"/>
    <w:rsid w:val="00093E53"/>
    <w:rsid w:val="000958CD"/>
    <w:rsid w:val="000971EA"/>
    <w:rsid w:val="000977BD"/>
    <w:rsid w:val="000A04E6"/>
    <w:rsid w:val="000A2CEB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1137"/>
    <w:rsid w:val="000B4A3A"/>
    <w:rsid w:val="000B6659"/>
    <w:rsid w:val="000B7F08"/>
    <w:rsid w:val="000C1200"/>
    <w:rsid w:val="000C285F"/>
    <w:rsid w:val="000C5A1D"/>
    <w:rsid w:val="000C6903"/>
    <w:rsid w:val="000D0E07"/>
    <w:rsid w:val="000D11B6"/>
    <w:rsid w:val="000D180D"/>
    <w:rsid w:val="000D3B65"/>
    <w:rsid w:val="000D43F8"/>
    <w:rsid w:val="000D4BA2"/>
    <w:rsid w:val="000D4C9E"/>
    <w:rsid w:val="000D511B"/>
    <w:rsid w:val="000D7A4C"/>
    <w:rsid w:val="000E151D"/>
    <w:rsid w:val="000E1F2A"/>
    <w:rsid w:val="000E32B6"/>
    <w:rsid w:val="000E4548"/>
    <w:rsid w:val="000E53F6"/>
    <w:rsid w:val="000F1E06"/>
    <w:rsid w:val="000F1F93"/>
    <w:rsid w:val="000F51E0"/>
    <w:rsid w:val="000F5794"/>
    <w:rsid w:val="000F5A3C"/>
    <w:rsid w:val="000F61F4"/>
    <w:rsid w:val="000F61FE"/>
    <w:rsid w:val="000F7452"/>
    <w:rsid w:val="001004D3"/>
    <w:rsid w:val="001019EB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7B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64E03"/>
    <w:rsid w:val="00165C4A"/>
    <w:rsid w:val="001705DD"/>
    <w:rsid w:val="00172460"/>
    <w:rsid w:val="001727B9"/>
    <w:rsid w:val="001738A3"/>
    <w:rsid w:val="00173969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AA7"/>
    <w:rsid w:val="00197E4A"/>
    <w:rsid w:val="001A0132"/>
    <w:rsid w:val="001A2B00"/>
    <w:rsid w:val="001A5226"/>
    <w:rsid w:val="001A5C01"/>
    <w:rsid w:val="001A5C04"/>
    <w:rsid w:val="001A7D31"/>
    <w:rsid w:val="001B02FA"/>
    <w:rsid w:val="001B1A38"/>
    <w:rsid w:val="001B217E"/>
    <w:rsid w:val="001B2BCE"/>
    <w:rsid w:val="001B37EC"/>
    <w:rsid w:val="001C6FA2"/>
    <w:rsid w:val="001D0FCC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3F4D"/>
    <w:rsid w:val="00205EDC"/>
    <w:rsid w:val="00206D6F"/>
    <w:rsid w:val="00206E2F"/>
    <w:rsid w:val="00207791"/>
    <w:rsid w:val="00207B33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4C6"/>
    <w:rsid w:val="00233D34"/>
    <w:rsid w:val="00233F21"/>
    <w:rsid w:val="002342C6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BE0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C8"/>
    <w:rsid w:val="00284633"/>
    <w:rsid w:val="0028670D"/>
    <w:rsid w:val="0029020B"/>
    <w:rsid w:val="002902BF"/>
    <w:rsid w:val="002907EE"/>
    <w:rsid w:val="002917A7"/>
    <w:rsid w:val="00293F86"/>
    <w:rsid w:val="00294C93"/>
    <w:rsid w:val="002974BC"/>
    <w:rsid w:val="002A350D"/>
    <w:rsid w:val="002A6FE1"/>
    <w:rsid w:val="002B1ACA"/>
    <w:rsid w:val="002B3A59"/>
    <w:rsid w:val="002B58CB"/>
    <w:rsid w:val="002C1AFC"/>
    <w:rsid w:val="002C1F0F"/>
    <w:rsid w:val="002C446A"/>
    <w:rsid w:val="002C5B3E"/>
    <w:rsid w:val="002C75EE"/>
    <w:rsid w:val="002D1438"/>
    <w:rsid w:val="002D2104"/>
    <w:rsid w:val="002D2D96"/>
    <w:rsid w:val="002D441A"/>
    <w:rsid w:val="002D44BE"/>
    <w:rsid w:val="002D4CBF"/>
    <w:rsid w:val="002E27A4"/>
    <w:rsid w:val="002E2DC2"/>
    <w:rsid w:val="002E39AA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5CC9"/>
    <w:rsid w:val="00307F85"/>
    <w:rsid w:val="00310571"/>
    <w:rsid w:val="00312897"/>
    <w:rsid w:val="00317E81"/>
    <w:rsid w:val="0032121D"/>
    <w:rsid w:val="00323C44"/>
    <w:rsid w:val="00326D9A"/>
    <w:rsid w:val="00327E24"/>
    <w:rsid w:val="0033024A"/>
    <w:rsid w:val="003346B8"/>
    <w:rsid w:val="00334EA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44F0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68B"/>
    <w:rsid w:val="0039133D"/>
    <w:rsid w:val="00392A99"/>
    <w:rsid w:val="0039564A"/>
    <w:rsid w:val="00395FFC"/>
    <w:rsid w:val="00396326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5AEE"/>
    <w:rsid w:val="00426089"/>
    <w:rsid w:val="0042705C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CDD"/>
    <w:rsid w:val="00445DC8"/>
    <w:rsid w:val="00446222"/>
    <w:rsid w:val="004465F3"/>
    <w:rsid w:val="00446628"/>
    <w:rsid w:val="00451767"/>
    <w:rsid w:val="00452C1B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1A0F"/>
    <w:rsid w:val="00472CF7"/>
    <w:rsid w:val="00472D54"/>
    <w:rsid w:val="00475257"/>
    <w:rsid w:val="004777D2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5889"/>
    <w:rsid w:val="004A66D0"/>
    <w:rsid w:val="004A6910"/>
    <w:rsid w:val="004B08C7"/>
    <w:rsid w:val="004B1506"/>
    <w:rsid w:val="004B21DF"/>
    <w:rsid w:val="004B23D9"/>
    <w:rsid w:val="004B2B82"/>
    <w:rsid w:val="004B46B6"/>
    <w:rsid w:val="004B6AB1"/>
    <w:rsid w:val="004C0C4E"/>
    <w:rsid w:val="004C133A"/>
    <w:rsid w:val="004C3D5C"/>
    <w:rsid w:val="004C4208"/>
    <w:rsid w:val="004C69B5"/>
    <w:rsid w:val="004C7221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34D7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C0B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5BD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6D16"/>
    <w:rsid w:val="00590896"/>
    <w:rsid w:val="005915A7"/>
    <w:rsid w:val="00591927"/>
    <w:rsid w:val="0059268A"/>
    <w:rsid w:val="00592CD0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7E"/>
    <w:rsid w:val="005B392B"/>
    <w:rsid w:val="005B3B31"/>
    <w:rsid w:val="005B607D"/>
    <w:rsid w:val="005C004F"/>
    <w:rsid w:val="005C0130"/>
    <w:rsid w:val="005C03FC"/>
    <w:rsid w:val="005C1214"/>
    <w:rsid w:val="005C61A4"/>
    <w:rsid w:val="005D16E9"/>
    <w:rsid w:val="005D28B6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9F6"/>
    <w:rsid w:val="00605E42"/>
    <w:rsid w:val="00610B24"/>
    <w:rsid w:val="00610F5D"/>
    <w:rsid w:val="006119BC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778F7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698D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56B8"/>
    <w:rsid w:val="006B6584"/>
    <w:rsid w:val="006B6F80"/>
    <w:rsid w:val="006C05B6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AF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643"/>
    <w:rsid w:val="00723EDD"/>
    <w:rsid w:val="007242ED"/>
    <w:rsid w:val="00724946"/>
    <w:rsid w:val="0072553A"/>
    <w:rsid w:val="00730060"/>
    <w:rsid w:val="007305B7"/>
    <w:rsid w:val="0073146A"/>
    <w:rsid w:val="00732874"/>
    <w:rsid w:val="00732A32"/>
    <w:rsid w:val="007341C6"/>
    <w:rsid w:val="00734977"/>
    <w:rsid w:val="00734CE5"/>
    <w:rsid w:val="007362FA"/>
    <w:rsid w:val="00737331"/>
    <w:rsid w:val="00737EDB"/>
    <w:rsid w:val="007411C6"/>
    <w:rsid w:val="0074127F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0E88"/>
    <w:rsid w:val="007614B6"/>
    <w:rsid w:val="0076228A"/>
    <w:rsid w:val="00762A7D"/>
    <w:rsid w:val="0076498C"/>
    <w:rsid w:val="00770572"/>
    <w:rsid w:val="00777608"/>
    <w:rsid w:val="00780CFD"/>
    <w:rsid w:val="00781A65"/>
    <w:rsid w:val="00781A78"/>
    <w:rsid w:val="00782FCE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FB"/>
    <w:rsid w:val="007B7D94"/>
    <w:rsid w:val="007C0448"/>
    <w:rsid w:val="007C67E6"/>
    <w:rsid w:val="007C6A31"/>
    <w:rsid w:val="007D0535"/>
    <w:rsid w:val="007D0B9C"/>
    <w:rsid w:val="007D1702"/>
    <w:rsid w:val="007D3F71"/>
    <w:rsid w:val="007D49FE"/>
    <w:rsid w:val="007D67F8"/>
    <w:rsid w:val="007E1BAD"/>
    <w:rsid w:val="007E5C15"/>
    <w:rsid w:val="007E65AA"/>
    <w:rsid w:val="007F0D6A"/>
    <w:rsid w:val="00800788"/>
    <w:rsid w:val="008016C2"/>
    <w:rsid w:val="008023E1"/>
    <w:rsid w:val="008026FC"/>
    <w:rsid w:val="008032C8"/>
    <w:rsid w:val="008050EC"/>
    <w:rsid w:val="00807234"/>
    <w:rsid w:val="00813271"/>
    <w:rsid w:val="00813BE0"/>
    <w:rsid w:val="00814D7A"/>
    <w:rsid w:val="008151DF"/>
    <w:rsid w:val="008160FD"/>
    <w:rsid w:val="008168DF"/>
    <w:rsid w:val="0081727B"/>
    <w:rsid w:val="00820EB1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4D9"/>
    <w:rsid w:val="0084679F"/>
    <w:rsid w:val="0084798C"/>
    <w:rsid w:val="008510CD"/>
    <w:rsid w:val="00851A9D"/>
    <w:rsid w:val="008520AE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5C76"/>
    <w:rsid w:val="0088742C"/>
    <w:rsid w:val="00887CFD"/>
    <w:rsid w:val="0089013B"/>
    <w:rsid w:val="00892810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4DF"/>
    <w:rsid w:val="008A7651"/>
    <w:rsid w:val="008A7D82"/>
    <w:rsid w:val="008B0091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2995"/>
    <w:rsid w:val="008E4F09"/>
    <w:rsid w:val="008E7C6D"/>
    <w:rsid w:val="008F1369"/>
    <w:rsid w:val="008F417C"/>
    <w:rsid w:val="008F5022"/>
    <w:rsid w:val="008F52D4"/>
    <w:rsid w:val="008F5396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3C5E"/>
    <w:rsid w:val="009151FF"/>
    <w:rsid w:val="00916F70"/>
    <w:rsid w:val="00916F8F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FB2"/>
    <w:rsid w:val="009418D1"/>
    <w:rsid w:val="00943214"/>
    <w:rsid w:val="009435B8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5836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49E5"/>
    <w:rsid w:val="009A7F20"/>
    <w:rsid w:val="009B0CBB"/>
    <w:rsid w:val="009B44A4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10E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3769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3198"/>
    <w:rsid w:val="00A244C3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3980"/>
    <w:rsid w:val="00A450AB"/>
    <w:rsid w:val="00A45F0D"/>
    <w:rsid w:val="00A47DE6"/>
    <w:rsid w:val="00A540C0"/>
    <w:rsid w:val="00A55C49"/>
    <w:rsid w:val="00A57A64"/>
    <w:rsid w:val="00A640BF"/>
    <w:rsid w:val="00A64D7D"/>
    <w:rsid w:val="00A6582C"/>
    <w:rsid w:val="00A65B24"/>
    <w:rsid w:val="00A668A3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207"/>
    <w:rsid w:val="00AB15FE"/>
    <w:rsid w:val="00AB5B46"/>
    <w:rsid w:val="00AB7D1B"/>
    <w:rsid w:val="00AC0BF3"/>
    <w:rsid w:val="00AC0D3D"/>
    <w:rsid w:val="00AC32D5"/>
    <w:rsid w:val="00AC3EDC"/>
    <w:rsid w:val="00AC4556"/>
    <w:rsid w:val="00AC6387"/>
    <w:rsid w:val="00AD38C4"/>
    <w:rsid w:val="00AE3368"/>
    <w:rsid w:val="00AE3516"/>
    <w:rsid w:val="00AE3A62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2D23"/>
    <w:rsid w:val="00B43FF3"/>
    <w:rsid w:val="00B44120"/>
    <w:rsid w:val="00B459BC"/>
    <w:rsid w:val="00B51BA4"/>
    <w:rsid w:val="00B52590"/>
    <w:rsid w:val="00B544FD"/>
    <w:rsid w:val="00B554B1"/>
    <w:rsid w:val="00B5650E"/>
    <w:rsid w:val="00B57E3A"/>
    <w:rsid w:val="00B6039F"/>
    <w:rsid w:val="00B620D6"/>
    <w:rsid w:val="00B627E9"/>
    <w:rsid w:val="00B63C2F"/>
    <w:rsid w:val="00B6517D"/>
    <w:rsid w:val="00B65C57"/>
    <w:rsid w:val="00B65CF8"/>
    <w:rsid w:val="00B671D6"/>
    <w:rsid w:val="00B70EC8"/>
    <w:rsid w:val="00B726FD"/>
    <w:rsid w:val="00B72ABF"/>
    <w:rsid w:val="00B7424C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6CC6"/>
    <w:rsid w:val="00BA7B9E"/>
    <w:rsid w:val="00BA7C36"/>
    <w:rsid w:val="00BB5D68"/>
    <w:rsid w:val="00BB633A"/>
    <w:rsid w:val="00BB6AA8"/>
    <w:rsid w:val="00BC1EEE"/>
    <w:rsid w:val="00BC4499"/>
    <w:rsid w:val="00BC6567"/>
    <w:rsid w:val="00BC7B85"/>
    <w:rsid w:val="00BD197C"/>
    <w:rsid w:val="00BD42B2"/>
    <w:rsid w:val="00BD56E1"/>
    <w:rsid w:val="00BD5D63"/>
    <w:rsid w:val="00BD625D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1065"/>
    <w:rsid w:val="00C140D0"/>
    <w:rsid w:val="00C1430A"/>
    <w:rsid w:val="00C154C3"/>
    <w:rsid w:val="00C155F1"/>
    <w:rsid w:val="00C168BC"/>
    <w:rsid w:val="00C17431"/>
    <w:rsid w:val="00C17D7B"/>
    <w:rsid w:val="00C17DCE"/>
    <w:rsid w:val="00C25127"/>
    <w:rsid w:val="00C25750"/>
    <w:rsid w:val="00C27076"/>
    <w:rsid w:val="00C27962"/>
    <w:rsid w:val="00C27B1D"/>
    <w:rsid w:val="00C328F2"/>
    <w:rsid w:val="00C32CDC"/>
    <w:rsid w:val="00C35E9D"/>
    <w:rsid w:val="00C37615"/>
    <w:rsid w:val="00C402C4"/>
    <w:rsid w:val="00C4144F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5CDC"/>
    <w:rsid w:val="00C864BA"/>
    <w:rsid w:val="00C879D2"/>
    <w:rsid w:val="00C90165"/>
    <w:rsid w:val="00C933DC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3F"/>
    <w:rsid w:val="00D23045"/>
    <w:rsid w:val="00D234F5"/>
    <w:rsid w:val="00D2372C"/>
    <w:rsid w:val="00D25190"/>
    <w:rsid w:val="00D30EFC"/>
    <w:rsid w:val="00D32C70"/>
    <w:rsid w:val="00D378D7"/>
    <w:rsid w:val="00D4128A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2B30"/>
    <w:rsid w:val="00D73ADA"/>
    <w:rsid w:val="00D73E3A"/>
    <w:rsid w:val="00D748F9"/>
    <w:rsid w:val="00D74F15"/>
    <w:rsid w:val="00D757A2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481C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5624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4AB"/>
    <w:rsid w:val="00E20B6A"/>
    <w:rsid w:val="00E21EDD"/>
    <w:rsid w:val="00E23853"/>
    <w:rsid w:val="00E24EC6"/>
    <w:rsid w:val="00E30CF5"/>
    <w:rsid w:val="00E31639"/>
    <w:rsid w:val="00E3225D"/>
    <w:rsid w:val="00E32BB8"/>
    <w:rsid w:val="00E33BDE"/>
    <w:rsid w:val="00E34670"/>
    <w:rsid w:val="00E34AA6"/>
    <w:rsid w:val="00E3727D"/>
    <w:rsid w:val="00E40B07"/>
    <w:rsid w:val="00E44961"/>
    <w:rsid w:val="00E469D4"/>
    <w:rsid w:val="00E5206F"/>
    <w:rsid w:val="00E534DE"/>
    <w:rsid w:val="00E54234"/>
    <w:rsid w:val="00E5465F"/>
    <w:rsid w:val="00E556EB"/>
    <w:rsid w:val="00E557A9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67EC5"/>
    <w:rsid w:val="00E702D0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7522"/>
    <w:rsid w:val="00EA1146"/>
    <w:rsid w:val="00EA1B76"/>
    <w:rsid w:val="00EA23D6"/>
    <w:rsid w:val="00EA6B47"/>
    <w:rsid w:val="00EA79FF"/>
    <w:rsid w:val="00EB2CD0"/>
    <w:rsid w:val="00EB30F6"/>
    <w:rsid w:val="00EB5985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A8A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16306"/>
    <w:rsid w:val="00F1769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5E0"/>
    <w:rsid w:val="00F40D1C"/>
    <w:rsid w:val="00F438B8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17"/>
    <w:rsid w:val="00F7439A"/>
    <w:rsid w:val="00F745D5"/>
    <w:rsid w:val="00F75356"/>
    <w:rsid w:val="00F775C9"/>
    <w:rsid w:val="00F815CA"/>
    <w:rsid w:val="00F82A01"/>
    <w:rsid w:val="00F83734"/>
    <w:rsid w:val="00F83908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1DD1"/>
    <w:rsid w:val="00FD2CE9"/>
    <w:rsid w:val="00FD6F9E"/>
    <w:rsid w:val="00FE0085"/>
    <w:rsid w:val="00FE08ED"/>
    <w:rsid w:val="00FE0F3F"/>
    <w:rsid w:val="00FE2E6D"/>
    <w:rsid w:val="00FE58B8"/>
    <w:rsid w:val="00FE64FD"/>
    <w:rsid w:val="00FF2516"/>
    <w:rsid w:val="00FF41E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669">
    <w:name w:val="SP.17.139669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280">
    <w:name w:val="SP.17.139280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310571"/>
    <w:rPr>
      <w:color w:val="000000"/>
      <w:sz w:val="20"/>
      <w:szCs w:val="20"/>
    </w:rPr>
  </w:style>
  <w:style w:type="character" w:customStyle="1" w:styleId="SC17323791">
    <w:name w:val="SC.17.323791"/>
    <w:uiPriority w:val="99"/>
    <w:rsid w:val="00310571"/>
    <w:rPr>
      <w:color w:val="000000"/>
      <w:sz w:val="20"/>
      <w:szCs w:val="20"/>
      <w:u w:val="single"/>
    </w:rPr>
  </w:style>
  <w:style w:type="paragraph" w:customStyle="1" w:styleId="SP17139625">
    <w:name w:val="SP.17.139625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411A603-D74A-44D0-8425-9D751550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736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132</cp:revision>
  <cp:lastPrinted>2016-01-08T21:12:00Z</cp:lastPrinted>
  <dcterms:created xsi:type="dcterms:W3CDTF">2019-07-16T14:40:00Z</dcterms:created>
  <dcterms:modified xsi:type="dcterms:W3CDTF">2022-08-01T00:33:00Z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