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9CA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1957"/>
        <w:gridCol w:w="1710"/>
        <w:gridCol w:w="2831"/>
      </w:tblGrid>
      <w:tr w:rsidR="00CA09B2" w:rsidRPr="00F0694E" w14:paraId="7F657679" w14:textId="77777777" w:rsidTr="00CD0E2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54ABAB8C" w:rsidR="00440017" w:rsidRPr="00F0694E" w:rsidRDefault="00E27170" w:rsidP="00331BD8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LB266</w:t>
            </w:r>
            <w:r w:rsidR="0031229E">
              <w:rPr>
                <w:lang w:eastAsia="zh-CN"/>
              </w:rPr>
              <w:t xml:space="preserve"> CR </w:t>
            </w:r>
            <w:r w:rsidR="00724FE9">
              <w:rPr>
                <w:lang w:eastAsia="zh-CN"/>
              </w:rPr>
              <w:t xml:space="preserve">for CIDs of </w:t>
            </w:r>
            <w:r w:rsidR="00724FE9" w:rsidRPr="00724FE9">
              <w:rPr>
                <w:lang w:eastAsia="zh-CN"/>
              </w:rPr>
              <w:t>4.3.16a</w:t>
            </w:r>
          </w:p>
        </w:tc>
      </w:tr>
      <w:tr w:rsidR="00CA09B2" w:rsidRPr="00F0694E" w14:paraId="0D1EF7AE" w14:textId="77777777" w:rsidTr="00CD0E2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6D9F79FC" w:rsidR="00CA09B2" w:rsidRPr="00F0694E" w:rsidRDefault="00CA09B2" w:rsidP="006074F6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F61377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.0</w:t>
            </w:r>
            <w:r w:rsidR="006074F6">
              <w:rPr>
                <w:b w:val="0"/>
                <w:sz w:val="22"/>
              </w:rPr>
              <w:t>7</w:t>
            </w:r>
            <w:r w:rsidR="0031229E">
              <w:rPr>
                <w:b w:val="0"/>
                <w:sz w:val="22"/>
              </w:rPr>
              <w:t>.</w:t>
            </w:r>
            <w:r w:rsidR="00724FE9">
              <w:rPr>
                <w:b w:val="0"/>
                <w:sz w:val="22"/>
              </w:rPr>
              <w:t>14</w:t>
            </w:r>
          </w:p>
        </w:tc>
      </w:tr>
      <w:tr w:rsidR="00CA09B2" w:rsidRPr="00F0694E" w14:paraId="2C7A0C8B" w14:textId="77777777" w:rsidTr="00CD0E2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CD0E2D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1957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680D0F8D" w14:textId="77777777" w:rsidTr="00CD0E2D">
        <w:trPr>
          <w:trHeight w:val="30"/>
          <w:jc w:val="center"/>
        </w:trPr>
        <w:tc>
          <w:tcPr>
            <w:tcW w:w="1638" w:type="dxa"/>
            <w:vAlign w:val="center"/>
          </w:tcPr>
          <w:p w14:paraId="434D0164" w14:textId="00C9A0D9" w:rsidR="00BC5605" w:rsidRPr="00F0694E" w:rsidRDefault="00724FE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Yanyi Ding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15AB1C99" w:rsidR="00BC5605" w:rsidRPr="00F0694E" w:rsidRDefault="00724FE9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1957" w:type="dxa"/>
            <w:vAlign w:val="center"/>
          </w:tcPr>
          <w:p w14:paraId="03582AA1" w14:textId="42EEEB45" w:rsidR="00BC5605" w:rsidRPr="00F0694E" w:rsidRDefault="00BC5605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68680FF8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31" w:type="dxa"/>
            <w:vAlign w:val="center"/>
          </w:tcPr>
          <w:p w14:paraId="7B3980BF" w14:textId="32E25A95" w:rsidR="00BC5605" w:rsidRPr="00C059BB" w:rsidRDefault="00724FE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24FE9">
              <w:rPr>
                <w:b w:val="0"/>
                <w:sz w:val="20"/>
              </w:rPr>
              <w:t>yanyi.din</w:t>
            </w:r>
            <w:r>
              <w:rPr>
                <w:b w:val="0"/>
                <w:sz w:val="20"/>
              </w:rPr>
              <w:t>g@sg.panasonic.com</w:t>
            </w:r>
          </w:p>
        </w:tc>
      </w:tr>
      <w:tr w:rsidR="00BC5605" w:rsidRPr="00F0694E" w14:paraId="21466FD9" w14:textId="77777777" w:rsidTr="00CD0E2D">
        <w:trPr>
          <w:jc w:val="center"/>
        </w:trPr>
        <w:tc>
          <w:tcPr>
            <w:tcW w:w="1638" w:type="dxa"/>
            <w:vAlign w:val="center"/>
          </w:tcPr>
          <w:p w14:paraId="581A9147" w14:textId="6D51FE77" w:rsidR="00BC5605" w:rsidRPr="00F0694E" w:rsidRDefault="00724FE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690D300C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39F92137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257C0131" w14:textId="77777777"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707FB6C7" w14:textId="77777777" w:rsidTr="00CD0E2D">
        <w:trPr>
          <w:jc w:val="center"/>
        </w:trPr>
        <w:tc>
          <w:tcPr>
            <w:tcW w:w="1638" w:type="dxa"/>
            <w:vAlign w:val="center"/>
          </w:tcPr>
          <w:p w14:paraId="263D9068" w14:textId="62EBB0C2" w:rsidR="00BC5605" w:rsidRDefault="00724FE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Rajat </w:t>
            </w:r>
            <w:proofErr w:type="spellStart"/>
            <w:r>
              <w:rPr>
                <w:b w:val="0"/>
                <w:sz w:val="20"/>
                <w:lang w:eastAsia="zh-CN"/>
              </w:rPr>
              <w:t>Pushkarna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22D99E94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11A56178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1098F9EF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57B90849" w14:textId="77777777"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77570FB" w14:textId="2D8058AB" w:rsidR="00386DD2" w:rsidRDefault="00386DD2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C298B8" wp14:editId="23A605A0">
                <wp:simplePos x="0" y="0"/>
                <wp:positionH relativeFrom="column">
                  <wp:posOffset>-62865</wp:posOffset>
                </wp:positionH>
                <wp:positionV relativeFrom="paragraph">
                  <wp:posOffset>261620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83705" w14:textId="77777777" w:rsidR="00EA5D85" w:rsidRDefault="00EA5D8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090BC9" w14:textId="564DB1CB" w:rsidR="00724FE9" w:rsidRDefault="00724FE9" w:rsidP="00724FE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LB266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</w:t>
                            </w:r>
                            <w:r>
                              <w:rPr>
                                <w:lang w:eastAsia="ko-KR"/>
                              </w:rPr>
                              <w:t>2.</w:t>
                            </w:r>
                            <w:r w:rsidR="00A835E5">
                              <w:rPr>
                                <w:lang w:eastAsia="ko-KR"/>
                              </w:rPr>
                              <w:t>1.1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22BA20E7" w14:textId="128CA7AB" w:rsidR="00724FE9" w:rsidRPr="00724FE9" w:rsidRDefault="00724FE9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  <w:lang w:eastAsia="ko-KR"/>
                              </w:rPr>
                            </w:pPr>
                            <w:r w:rsidRPr="00724FE9">
                              <w:rPr>
                                <w:rFonts w:ascii="Times New Roman" w:hAnsi="Times New Roman"/>
                                <w:lang w:eastAsia="ko-KR"/>
                              </w:rPr>
                              <w:t xml:space="preserve">CIDs: </w:t>
                            </w:r>
                            <w:r w:rsidRPr="00724FE9">
                              <w:rPr>
                                <w:rFonts w:ascii="Times New Roman" w:hAnsi="Times New Roman"/>
                                <w:lang w:val="en-US"/>
                              </w:rPr>
                              <w:t>10965, 13216</w:t>
                            </w:r>
                          </w:p>
                          <w:p w14:paraId="598D0DF1" w14:textId="77777777" w:rsidR="00724FE9" w:rsidRDefault="00724FE9" w:rsidP="00724FE9">
                            <w:pPr>
                              <w:pStyle w:val="ListParagraph"/>
                              <w:ind w:left="760"/>
                              <w:contextualSpacing w:val="0"/>
                            </w:pPr>
                          </w:p>
                          <w:p w14:paraId="51AFA960" w14:textId="77777777" w:rsidR="00724FE9" w:rsidRDefault="00724FE9" w:rsidP="00724FE9">
                            <w:r>
                              <w:t>Revisions:</w:t>
                            </w:r>
                          </w:p>
                          <w:p w14:paraId="4D5737D4" w14:textId="7DAA9B46" w:rsidR="00724FE9" w:rsidRDefault="00724FE9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724FE9">
                              <w:rPr>
                                <w:rFonts w:ascii="Times New Roman" w:hAnsi="Times New Roman"/>
                              </w:rPr>
                              <w:t>0: Initial version of the document.</w:t>
                            </w:r>
                          </w:p>
                          <w:p w14:paraId="1513D2A1" w14:textId="28C84E7B" w:rsidR="00A835E5" w:rsidRDefault="00A835E5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R1: updated resolutions for CIDs 10965, 13216; the latest resolutions are based on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D2.1.1 </w:t>
                            </w:r>
                          </w:p>
                          <w:p w14:paraId="27777B9C" w14:textId="4D93D92E" w:rsidR="00061005" w:rsidRDefault="00061005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R2: revised typos</w:t>
                            </w:r>
                          </w:p>
                          <w:p w14:paraId="3BFF8B29" w14:textId="35003B07" w:rsidR="00D43AA9" w:rsidRPr="00724FE9" w:rsidRDefault="00D43AA9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R3: revised resolution for CID 10965</w:t>
                            </w:r>
                          </w:p>
                          <w:p w14:paraId="202074E8" w14:textId="77777777" w:rsidR="00EA5D85" w:rsidRPr="00257D30" w:rsidRDefault="00EA5D85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1A0D9E9" w14:textId="77777777" w:rsidR="00EA5D85" w:rsidRDefault="00EA5D85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2D48C4C" w14:textId="77777777" w:rsidR="00EA5D85" w:rsidRPr="001A38C2" w:rsidRDefault="00EA5D85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29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20.6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" o:allowincell="f" stroked="f">
                <v:textbox>
                  <w:txbxContent>
                    <w:p w14:paraId="45383705" w14:textId="77777777" w:rsidR="00EA5D85" w:rsidRDefault="00EA5D8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090BC9" w14:textId="564DB1CB" w:rsidR="00724FE9" w:rsidRDefault="00724FE9" w:rsidP="00724FE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LB266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</w:t>
                      </w:r>
                      <w:r>
                        <w:rPr>
                          <w:lang w:eastAsia="ko-KR"/>
                        </w:rPr>
                        <w:t>2.</w:t>
                      </w:r>
                      <w:r w:rsidR="00A835E5">
                        <w:rPr>
                          <w:lang w:eastAsia="ko-KR"/>
                        </w:rPr>
                        <w:t>1.1</w:t>
                      </w:r>
                      <w:r>
                        <w:rPr>
                          <w:rFonts w:hint="eastAsia"/>
                          <w:lang w:eastAsia="ko-KR"/>
                        </w:rPr>
                        <w:t>)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22BA20E7" w14:textId="128CA7AB" w:rsidR="00724FE9" w:rsidRPr="00724FE9" w:rsidRDefault="00724FE9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  <w:lang w:eastAsia="ko-KR"/>
                        </w:rPr>
                      </w:pPr>
                      <w:r w:rsidRPr="00724FE9">
                        <w:rPr>
                          <w:rFonts w:ascii="Times New Roman" w:hAnsi="Times New Roman"/>
                          <w:lang w:eastAsia="ko-KR"/>
                        </w:rPr>
                        <w:t xml:space="preserve">CIDs: </w:t>
                      </w:r>
                      <w:r w:rsidRPr="00724FE9">
                        <w:rPr>
                          <w:rFonts w:ascii="Times New Roman" w:hAnsi="Times New Roman"/>
                          <w:lang w:val="en-US"/>
                        </w:rPr>
                        <w:t>10965, 13216</w:t>
                      </w:r>
                    </w:p>
                    <w:p w14:paraId="598D0DF1" w14:textId="77777777" w:rsidR="00724FE9" w:rsidRDefault="00724FE9" w:rsidP="00724FE9">
                      <w:pPr>
                        <w:pStyle w:val="ListParagraph"/>
                        <w:ind w:left="760"/>
                        <w:contextualSpacing w:val="0"/>
                      </w:pPr>
                    </w:p>
                    <w:p w14:paraId="51AFA960" w14:textId="77777777" w:rsidR="00724FE9" w:rsidRDefault="00724FE9" w:rsidP="00724FE9">
                      <w:r>
                        <w:t>Revisions:</w:t>
                      </w:r>
                    </w:p>
                    <w:p w14:paraId="4D5737D4" w14:textId="7DAA9B46" w:rsidR="00724FE9" w:rsidRDefault="00724FE9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</w:t>
                      </w:r>
                      <w:r w:rsidRPr="00724FE9">
                        <w:rPr>
                          <w:rFonts w:ascii="Times New Roman" w:hAnsi="Times New Roman"/>
                        </w:rPr>
                        <w:t>0: Initial version of the document.</w:t>
                      </w:r>
                    </w:p>
                    <w:p w14:paraId="1513D2A1" w14:textId="28C84E7B" w:rsidR="00A835E5" w:rsidRDefault="00A835E5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R1: updated resolutions for CIDs 10965, 13216; the latest resolutions are based on TGbe D2.1.1 </w:t>
                      </w:r>
                    </w:p>
                    <w:p w14:paraId="27777B9C" w14:textId="4D93D92E" w:rsidR="00061005" w:rsidRDefault="00061005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R2: revised typos</w:t>
                      </w:r>
                    </w:p>
                    <w:p w14:paraId="3BFF8B29" w14:textId="35003B07" w:rsidR="00D43AA9" w:rsidRPr="00724FE9" w:rsidRDefault="00D43AA9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R3: revised resolution for CID 10965</w:t>
                      </w:r>
                    </w:p>
                    <w:p w14:paraId="202074E8" w14:textId="77777777" w:rsidR="00EA5D85" w:rsidRPr="00257D30" w:rsidRDefault="00EA5D85" w:rsidP="002F09A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1A0D9E9" w14:textId="77777777" w:rsidR="00EA5D85" w:rsidRDefault="00EA5D85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2D48C4C" w14:textId="77777777" w:rsidR="00EA5D85" w:rsidRPr="001A38C2" w:rsidRDefault="00EA5D85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A9416" w14:textId="2697ED89" w:rsidR="00CA09B2" w:rsidRPr="0025437D" w:rsidRDefault="00CA09B2">
      <w:pPr>
        <w:pStyle w:val="T1"/>
        <w:spacing w:after="120"/>
        <w:rPr>
          <w:sz w:val="32"/>
          <w:u w:val="single"/>
        </w:rPr>
      </w:pPr>
    </w:p>
    <w:p w14:paraId="623FDB25" w14:textId="77777777" w:rsidR="00C059BB" w:rsidRPr="00BA2B26" w:rsidRDefault="00CA09B2" w:rsidP="00BA2B26">
      <w:pPr>
        <w:pStyle w:val="Heading1"/>
        <w:rPr>
          <w:sz w:val="20"/>
        </w:rPr>
      </w:pPr>
      <w:r w:rsidRPr="001568A8">
        <w:br w:type="page"/>
      </w:r>
    </w:p>
    <w:p w14:paraId="195AD9B6" w14:textId="4D5EDF00" w:rsidR="00386DD2" w:rsidRDefault="00386DD2" w:rsidP="00386DD2"/>
    <w:p w14:paraId="4B9DF291" w14:textId="123652FF" w:rsidR="00386DD2" w:rsidRDefault="00386DD2" w:rsidP="00386DD2">
      <w:pPr>
        <w:pStyle w:val="Heading1"/>
        <w:numPr>
          <w:ilvl w:val="0"/>
          <w:numId w:val="32"/>
        </w:numPr>
      </w:pPr>
      <w:r>
        <w:t xml:space="preserve">Introduction </w:t>
      </w:r>
    </w:p>
    <w:p w14:paraId="741C0068" w14:textId="206337A8" w:rsidR="00386DD2" w:rsidRPr="004F3AF6" w:rsidRDefault="00386DD2" w:rsidP="00386DD2">
      <w:r w:rsidRPr="004F3AF6">
        <w:t>Interpretation of a Motion to Adopt</w:t>
      </w:r>
    </w:p>
    <w:p w14:paraId="71487E14" w14:textId="77777777" w:rsidR="00386DD2" w:rsidRPr="004C0F0A" w:rsidRDefault="00386DD2" w:rsidP="00386DD2">
      <w:pPr>
        <w:rPr>
          <w:lang w:eastAsia="ko-KR"/>
        </w:rPr>
      </w:pPr>
    </w:p>
    <w:p w14:paraId="0519BF7A" w14:textId="77777777" w:rsidR="00386DD2" w:rsidRPr="004F3AF6" w:rsidRDefault="00386DD2" w:rsidP="00386DD2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47D368B0" w14:textId="77777777" w:rsidR="00386DD2" w:rsidRPr="004F3AF6" w:rsidRDefault="00386DD2" w:rsidP="00386DD2">
      <w:pPr>
        <w:rPr>
          <w:lang w:eastAsia="ko-KR"/>
        </w:rPr>
      </w:pPr>
    </w:p>
    <w:p w14:paraId="1463F8B7" w14:textId="77777777" w:rsidR="00386DD2" w:rsidRPr="004F3AF6" w:rsidRDefault="00386DD2" w:rsidP="00386DD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5A49309D" w14:textId="77777777" w:rsidR="00386DD2" w:rsidRPr="004F3AF6" w:rsidRDefault="00386DD2" w:rsidP="00386DD2">
      <w:pPr>
        <w:rPr>
          <w:lang w:eastAsia="ko-KR"/>
        </w:rPr>
      </w:pPr>
    </w:p>
    <w:p w14:paraId="44DAD05A" w14:textId="23151798" w:rsidR="00386DD2" w:rsidRDefault="00386DD2" w:rsidP="00386DD2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</w:t>
      </w:r>
      <w:proofErr w:type="spellStart"/>
      <w:r w:rsidRPr="004F3AF6">
        <w:rPr>
          <w:b/>
          <w:bCs/>
          <w:i/>
          <w:iCs/>
          <w:lang w:eastAsia="ko-KR"/>
        </w:rPr>
        <w:t>Draft.</w:t>
      </w:r>
      <w:r w:rsidR="00357F37">
        <w:rPr>
          <w:b/>
          <w:bCs/>
          <w:i/>
          <w:iCs/>
          <w:lang w:eastAsia="ko-KR"/>
        </w:rPr>
        <w:t>s</w:t>
      </w:r>
      <w:proofErr w:type="spellEnd"/>
    </w:p>
    <w:tbl>
      <w:tblPr>
        <w:tblpPr w:leftFromText="180" w:rightFromText="180" w:vertAnchor="page" w:horzAnchor="margin" w:tblpY="552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57"/>
        <w:gridCol w:w="869"/>
        <w:gridCol w:w="990"/>
        <w:gridCol w:w="1929"/>
        <w:gridCol w:w="1522"/>
        <w:gridCol w:w="2501"/>
      </w:tblGrid>
      <w:tr w:rsidR="00E443C0" w:rsidRPr="00F0694E" w14:paraId="1D736186" w14:textId="77777777" w:rsidTr="00E443C0">
        <w:trPr>
          <w:trHeight w:val="657"/>
        </w:trPr>
        <w:tc>
          <w:tcPr>
            <w:tcW w:w="866" w:type="dxa"/>
          </w:tcPr>
          <w:p w14:paraId="760A065D" w14:textId="77777777" w:rsidR="00E443C0" w:rsidRDefault="00E443C0" w:rsidP="00E443C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bookmarkStart w:id="0" w:name="_Hlk113462971"/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ID </w:t>
            </w:r>
          </w:p>
        </w:tc>
        <w:tc>
          <w:tcPr>
            <w:tcW w:w="957" w:type="dxa"/>
          </w:tcPr>
          <w:p w14:paraId="79A327E0" w14:textId="77777777" w:rsidR="00E443C0" w:rsidRDefault="00E443C0" w:rsidP="00E443C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ommenter</w:t>
            </w:r>
          </w:p>
        </w:tc>
        <w:tc>
          <w:tcPr>
            <w:tcW w:w="869" w:type="dxa"/>
            <w:shd w:val="clear" w:color="auto" w:fill="auto"/>
            <w:hideMark/>
          </w:tcPr>
          <w:p w14:paraId="033DB397" w14:textId="77777777" w:rsidR="00E443C0" w:rsidRDefault="00E443C0" w:rsidP="00E443C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11F5B07" w14:textId="77777777" w:rsidR="00E443C0" w:rsidRPr="00F0694E" w:rsidRDefault="00E443C0" w:rsidP="00E443C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0" w:type="dxa"/>
            <w:shd w:val="clear" w:color="auto" w:fill="auto"/>
            <w:hideMark/>
          </w:tcPr>
          <w:p w14:paraId="5AF41E12" w14:textId="77777777" w:rsidR="00E443C0" w:rsidRPr="00F0694E" w:rsidRDefault="00E443C0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29" w:type="dxa"/>
            <w:shd w:val="clear" w:color="auto" w:fill="auto"/>
            <w:hideMark/>
          </w:tcPr>
          <w:p w14:paraId="62327320" w14:textId="77777777" w:rsidR="00E443C0" w:rsidRPr="00F0694E" w:rsidRDefault="00E443C0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522" w:type="dxa"/>
            <w:shd w:val="clear" w:color="auto" w:fill="auto"/>
            <w:hideMark/>
          </w:tcPr>
          <w:p w14:paraId="4477839E" w14:textId="77777777" w:rsidR="00E443C0" w:rsidRPr="00F0694E" w:rsidRDefault="00E443C0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501" w:type="dxa"/>
            <w:shd w:val="clear" w:color="auto" w:fill="auto"/>
            <w:hideMark/>
          </w:tcPr>
          <w:p w14:paraId="38011AF1" w14:textId="77777777" w:rsidR="00E443C0" w:rsidRDefault="00E443C0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443C0" w:rsidRPr="006074F6" w14:paraId="08A4444E" w14:textId="77777777" w:rsidTr="00E443C0">
        <w:trPr>
          <w:trHeight w:val="1166"/>
        </w:trPr>
        <w:tc>
          <w:tcPr>
            <w:tcW w:w="866" w:type="dxa"/>
          </w:tcPr>
          <w:p w14:paraId="6E712094" w14:textId="77777777" w:rsidR="00E443C0" w:rsidRPr="002A08B9" w:rsidRDefault="00E443C0" w:rsidP="00E443C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10965</w:t>
            </w:r>
          </w:p>
        </w:tc>
        <w:tc>
          <w:tcPr>
            <w:tcW w:w="957" w:type="dxa"/>
          </w:tcPr>
          <w:p w14:paraId="04FBB1E0" w14:textId="77777777" w:rsidR="00E443C0" w:rsidRPr="002A08B9" w:rsidRDefault="00E443C0" w:rsidP="00E443C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Rui Yang</w:t>
            </w:r>
          </w:p>
        </w:tc>
        <w:tc>
          <w:tcPr>
            <w:tcW w:w="869" w:type="dxa"/>
            <w:shd w:val="clear" w:color="auto" w:fill="auto"/>
          </w:tcPr>
          <w:p w14:paraId="46E38543" w14:textId="77777777" w:rsidR="00E443C0" w:rsidRPr="002A08B9" w:rsidRDefault="00E443C0" w:rsidP="00E443C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55.53</w:t>
            </w:r>
          </w:p>
        </w:tc>
        <w:tc>
          <w:tcPr>
            <w:tcW w:w="990" w:type="dxa"/>
            <w:shd w:val="clear" w:color="auto" w:fill="auto"/>
          </w:tcPr>
          <w:p w14:paraId="217C3F99" w14:textId="77777777" w:rsidR="00E443C0" w:rsidRPr="002A08B9" w:rsidRDefault="00E443C0" w:rsidP="00E443C0">
            <w:pPr>
              <w:rPr>
                <w:sz w:val="20"/>
                <w:lang w:eastAsia="zh-CN"/>
              </w:rPr>
            </w:pPr>
            <w:r w:rsidRPr="00CD0E2D">
              <w:rPr>
                <w:sz w:val="20"/>
                <w:lang w:eastAsia="zh-CN"/>
              </w:rPr>
              <w:t>4.3.16a</w:t>
            </w:r>
          </w:p>
        </w:tc>
        <w:tc>
          <w:tcPr>
            <w:tcW w:w="1929" w:type="dxa"/>
            <w:shd w:val="clear" w:color="auto" w:fill="auto"/>
          </w:tcPr>
          <w:p w14:paraId="36A08568" w14:textId="77777777" w:rsidR="00E443C0" w:rsidRPr="009838E9" w:rsidRDefault="00E443C0" w:rsidP="00E443C0">
            <w:pPr>
              <w:rPr>
                <w:sz w:val="20"/>
              </w:rPr>
            </w:pPr>
            <w:r w:rsidRPr="00CD0E2D">
              <w:rPr>
                <w:sz w:val="20"/>
              </w:rPr>
              <w:t xml:space="preserve">This part of the spec should include a statement for 20 MHz operating non-AP EHT STA. Since "Support For 242-tone RU In BW Wider Than 20 MHz" is </w:t>
            </w:r>
            <w:proofErr w:type="gramStart"/>
            <w:r w:rsidRPr="00CD0E2D">
              <w:rPr>
                <w:sz w:val="20"/>
              </w:rPr>
              <w:t>an</w:t>
            </w:r>
            <w:proofErr w:type="gramEnd"/>
            <w:r w:rsidRPr="00CD0E2D">
              <w:rPr>
                <w:sz w:val="20"/>
              </w:rPr>
              <w:t xml:space="preserve"> </w:t>
            </w:r>
            <w:proofErr w:type="spellStart"/>
            <w:r w:rsidRPr="00CD0E2D">
              <w:rPr>
                <w:sz w:val="20"/>
              </w:rPr>
              <w:t>subfiled</w:t>
            </w:r>
            <w:proofErr w:type="spellEnd"/>
            <w:r w:rsidRPr="00CD0E2D">
              <w:rPr>
                <w:sz w:val="20"/>
              </w:rPr>
              <w:t xml:space="preserve"> in PHY capability info field, supporting for participating in 160 MHz/320 MHz UL/DL OFDMA for an 20 MHz operating non-AP EHT STA should be optional.</w:t>
            </w:r>
          </w:p>
        </w:tc>
        <w:tc>
          <w:tcPr>
            <w:tcW w:w="1522" w:type="dxa"/>
            <w:shd w:val="clear" w:color="auto" w:fill="auto"/>
          </w:tcPr>
          <w:p w14:paraId="472AC2CB" w14:textId="77777777" w:rsidR="00E443C0" w:rsidRPr="002A08B9" w:rsidRDefault="00E443C0" w:rsidP="00E443C0">
            <w:pPr>
              <w:rPr>
                <w:sz w:val="20"/>
              </w:rPr>
            </w:pPr>
            <w:r w:rsidRPr="00CD0E2D">
              <w:rPr>
                <w:sz w:val="20"/>
              </w:rPr>
              <w:t xml:space="preserve">Insert the following </w:t>
            </w:r>
            <w:proofErr w:type="spellStart"/>
            <w:r w:rsidRPr="00CD0E2D">
              <w:rPr>
                <w:sz w:val="20"/>
              </w:rPr>
              <w:t>bullete</w:t>
            </w:r>
            <w:proofErr w:type="spellEnd"/>
            <w:r w:rsidRPr="00CD0E2D">
              <w:rPr>
                <w:sz w:val="20"/>
              </w:rPr>
              <w:t xml:space="preserve"> after line 53: "Optional support for participating in 160 MHz/320 MHz UL/DL OFDMA for </w:t>
            </w:r>
            <w:proofErr w:type="gramStart"/>
            <w:r w:rsidRPr="00CD0E2D">
              <w:rPr>
                <w:sz w:val="20"/>
              </w:rPr>
              <w:t>an</w:t>
            </w:r>
            <w:proofErr w:type="gramEnd"/>
            <w:r w:rsidRPr="00CD0E2D">
              <w:rPr>
                <w:sz w:val="20"/>
              </w:rPr>
              <w:t xml:space="preserve"> 20 MHz operating non-AP EHT STA."</w:t>
            </w:r>
          </w:p>
        </w:tc>
        <w:tc>
          <w:tcPr>
            <w:tcW w:w="2501" w:type="dxa"/>
            <w:shd w:val="clear" w:color="auto" w:fill="auto"/>
          </w:tcPr>
          <w:p w14:paraId="4E7FC1AF" w14:textId="198888EF" w:rsidR="00E443C0" w:rsidRPr="004231D0" w:rsidRDefault="00E443C0" w:rsidP="00E443C0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t>Re</w:t>
            </w:r>
            <w:r w:rsidR="00D43AA9">
              <w:rPr>
                <w:b/>
                <w:bCs/>
                <w:sz w:val="20"/>
              </w:rPr>
              <w:t>jected.</w:t>
            </w:r>
          </w:p>
          <w:p w14:paraId="16362B8C" w14:textId="77777777" w:rsidR="00E443C0" w:rsidRDefault="00E443C0" w:rsidP="00E443C0">
            <w:pPr>
              <w:rPr>
                <w:sz w:val="20"/>
              </w:rPr>
            </w:pPr>
          </w:p>
          <w:p w14:paraId="4CCAA979" w14:textId="77777777" w:rsidR="00D43AA9" w:rsidRPr="009A3EE8" w:rsidRDefault="00D43AA9" w:rsidP="00E443C0">
            <w:pPr>
              <w:rPr>
                <w:sz w:val="20"/>
              </w:rPr>
            </w:pPr>
            <w:r w:rsidRPr="009A3EE8">
              <w:rPr>
                <w:sz w:val="20"/>
              </w:rPr>
              <w:t xml:space="preserve">In 11be, </w:t>
            </w:r>
            <w:r w:rsidRPr="009A3EE8">
              <w:rPr>
                <w:sz w:val="20"/>
                <w:lang w:val="en-US" w:eastAsia="zh-CN"/>
              </w:rPr>
              <w:t xml:space="preserve">support for 320 MHz UL/DL OFDMA of certain RU sizes for a 20 MHz operating non-AP STA is mandatory. </w:t>
            </w:r>
          </w:p>
          <w:p w14:paraId="0DBDB8DD" w14:textId="77777777" w:rsidR="00D43AA9" w:rsidRDefault="00D43AA9" w:rsidP="00E443C0">
            <w:pPr>
              <w:rPr>
                <w:sz w:val="20"/>
              </w:rPr>
            </w:pPr>
          </w:p>
          <w:p w14:paraId="4C574229" w14:textId="516D424E" w:rsidR="00357F37" w:rsidRDefault="009A3EE8" w:rsidP="00E443C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So</w:t>
            </w:r>
            <w:proofErr w:type="gramEnd"/>
            <w:r>
              <w:rPr>
                <w:sz w:val="20"/>
              </w:rPr>
              <w:t xml:space="preserve"> i</w:t>
            </w:r>
            <w:r w:rsidR="00D43AA9">
              <w:rPr>
                <w:sz w:val="20"/>
              </w:rPr>
              <w:t xml:space="preserve">t is not correct to say ‘optional support for participating in </w:t>
            </w:r>
            <w:r w:rsidR="00CA4377">
              <w:rPr>
                <w:sz w:val="20"/>
              </w:rPr>
              <w:t>160/</w:t>
            </w:r>
            <w:r w:rsidR="00D43AA9">
              <w:rPr>
                <w:sz w:val="20"/>
              </w:rPr>
              <w:t>320 MHz UL/DL</w:t>
            </w:r>
            <w:r w:rsidR="00CA4377">
              <w:rPr>
                <w:sz w:val="20"/>
              </w:rPr>
              <w:t xml:space="preserve"> OFDMA for a 20 MHz operating non-AP EHT STA</w:t>
            </w:r>
            <w:r w:rsidR="00D43AA9">
              <w:rPr>
                <w:sz w:val="20"/>
              </w:rPr>
              <w:t>’</w:t>
            </w:r>
            <w:r w:rsidR="00CA4377">
              <w:rPr>
                <w:sz w:val="20"/>
              </w:rPr>
              <w:t>.</w:t>
            </w:r>
          </w:p>
          <w:p w14:paraId="005852BC" w14:textId="77777777" w:rsidR="00D43AA9" w:rsidRDefault="00D43AA9" w:rsidP="00E443C0">
            <w:pPr>
              <w:rPr>
                <w:sz w:val="20"/>
              </w:rPr>
            </w:pPr>
          </w:p>
          <w:p w14:paraId="61F2F786" w14:textId="77777777" w:rsidR="00E443C0" w:rsidRDefault="00357F37" w:rsidP="00E443C0">
            <w:pPr>
              <w:rPr>
                <w:sz w:val="20"/>
              </w:rPr>
            </w:pPr>
            <w:r>
              <w:rPr>
                <w:sz w:val="20"/>
              </w:rPr>
              <w:t xml:space="preserve">The correct statement </w:t>
            </w:r>
            <w:r w:rsidR="009A3EE8">
              <w:rPr>
                <w:sz w:val="20"/>
              </w:rPr>
              <w:t xml:space="preserve">will go to specific RU size level, which </w:t>
            </w:r>
            <w:r>
              <w:rPr>
                <w:sz w:val="20"/>
              </w:rPr>
              <w:t xml:space="preserve">is too detailed for high level introduction subclause. </w:t>
            </w:r>
          </w:p>
          <w:p w14:paraId="6DAF00C6" w14:textId="77777777" w:rsidR="009A3EE8" w:rsidRDefault="009A3EE8" w:rsidP="00E443C0">
            <w:pPr>
              <w:rPr>
                <w:sz w:val="20"/>
              </w:rPr>
            </w:pPr>
          </w:p>
          <w:p w14:paraId="2B878273" w14:textId="2280D97F" w:rsidR="009A3EE8" w:rsidRPr="002A08B9" w:rsidRDefault="009A3EE8" w:rsidP="00E443C0">
            <w:pPr>
              <w:rPr>
                <w:sz w:val="20"/>
              </w:rPr>
            </w:pPr>
            <w:r>
              <w:rPr>
                <w:sz w:val="20"/>
              </w:rPr>
              <w:t>Better not</w:t>
            </w:r>
            <w:r w:rsidR="00230676">
              <w:rPr>
                <w:sz w:val="20"/>
              </w:rPr>
              <w:t xml:space="preserve"> to</w:t>
            </w:r>
            <w:r>
              <w:rPr>
                <w:sz w:val="20"/>
              </w:rPr>
              <w:t xml:space="preserve"> discuss </w:t>
            </w:r>
            <w:r w:rsidR="00512E92">
              <w:rPr>
                <w:sz w:val="20"/>
              </w:rPr>
              <w:t xml:space="preserve">this feature in </w:t>
            </w:r>
            <w:r w:rsidR="00230676">
              <w:rPr>
                <w:sz w:val="20"/>
              </w:rPr>
              <w:t>the subclause.</w:t>
            </w:r>
          </w:p>
        </w:tc>
      </w:tr>
      <w:bookmarkEnd w:id="0"/>
      <w:tr w:rsidR="00E443C0" w:rsidRPr="006074F6" w14:paraId="7FABE717" w14:textId="77777777" w:rsidTr="00E443C0">
        <w:trPr>
          <w:trHeight w:val="1166"/>
        </w:trPr>
        <w:tc>
          <w:tcPr>
            <w:tcW w:w="866" w:type="dxa"/>
          </w:tcPr>
          <w:p w14:paraId="20DD259A" w14:textId="77777777" w:rsidR="00E443C0" w:rsidRDefault="00E443C0" w:rsidP="00E443C0">
            <w:pPr>
              <w:rPr>
                <w:sz w:val="20"/>
                <w:lang w:eastAsia="zh-CN"/>
              </w:rPr>
            </w:pPr>
            <w:r w:rsidRPr="00FA4F09">
              <w:t>132</w:t>
            </w:r>
            <w:r>
              <w:t>1</w:t>
            </w:r>
            <w:r w:rsidRPr="00FA4F09">
              <w:t>6</w:t>
            </w:r>
          </w:p>
        </w:tc>
        <w:tc>
          <w:tcPr>
            <w:tcW w:w="957" w:type="dxa"/>
          </w:tcPr>
          <w:p w14:paraId="5EF84070" w14:textId="77777777" w:rsidR="00E443C0" w:rsidRDefault="00E443C0" w:rsidP="00E443C0">
            <w:pPr>
              <w:rPr>
                <w:sz w:val="20"/>
                <w:lang w:eastAsia="zh-CN"/>
              </w:rPr>
            </w:pPr>
            <w:proofErr w:type="spellStart"/>
            <w:r w:rsidRPr="00FA4F09">
              <w:t>Evgeny</w:t>
            </w:r>
            <w:proofErr w:type="spellEnd"/>
            <w:r w:rsidRPr="00FA4F09">
              <w:t xml:space="preserve"> </w:t>
            </w:r>
            <w:proofErr w:type="spellStart"/>
            <w:r w:rsidRPr="00FA4F09">
              <w:t>Khorov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14:paraId="74CCEB11" w14:textId="77777777" w:rsidR="00E443C0" w:rsidRDefault="00E443C0" w:rsidP="00E443C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55.36</w:t>
            </w:r>
          </w:p>
        </w:tc>
        <w:tc>
          <w:tcPr>
            <w:tcW w:w="990" w:type="dxa"/>
            <w:shd w:val="clear" w:color="auto" w:fill="auto"/>
          </w:tcPr>
          <w:p w14:paraId="7462D7F8" w14:textId="77777777" w:rsidR="00E443C0" w:rsidRPr="00CD0E2D" w:rsidRDefault="00E443C0" w:rsidP="00E443C0">
            <w:pPr>
              <w:rPr>
                <w:sz w:val="20"/>
                <w:lang w:eastAsia="zh-CN"/>
              </w:rPr>
            </w:pPr>
            <w:r w:rsidRPr="00CD0E2D">
              <w:rPr>
                <w:sz w:val="20"/>
                <w:lang w:eastAsia="zh-CN"/>
              </w:rPr>
              <w:t>4.3.16a</w:t>
            </w:r>
          </w:p>
        </w:tc>
        <w:tc>
          <w:tcPr>
            <w:tcW w:w="1929" w:type="dxa"/>
            <w:shd w:val="clear" w:color="auto" w:fill="auto"/>
          </w:tcPr>
          <w:p w14:paraId="0F043B69" w14:textId="77777777" w:rsidR="00E443C0" w:rsidRPr="00CD0E2D" w:rsidRDefault="00E443C0" w:rsidP="00E443C0">
            <w:pPr>
              <w:rPr>
                <w:sz w:val="20"/>
              </w:rPr>
            </w:pPr>
            <w:r w:rsidRPr="00CD0E2D">
              <w:rPr>
                <w:sz w:val="20"/>
              </w:rPr>
              <w:t>16x MU-MIMO is missing but was discussed as a candidate feature</w:t>
            </w:r>
          </w:p>
        </w:tc>
        <w:tc>
          <w:tcPr>
            <w:tcW w:w="1522" w:type="dxa"/>
            <w:shd w:val="clear" w:color="auto" w:fill="auto"/>
          </w:tcPr>
          <w:p w14:paraId="3067D76E" w14:textId="77777777" w:rsidR="00E443C0" w:rsidRPr="00CD0E2D" w:rsidRDefault="00E443C0" w:rsidP="00E443C0">
            <w:pPr>
              <w:rPr>
                <w:sz w:val="20"/>
              </w:rPr>
            </w:pPr>
            <w:r w:rsidRPr="00CD0E2D">
              <w:rPr>
                <w:sz w:val="20"/>
              </w:rPr>
              <w:t>Add the support of 16x MU-MIMO</w:t>
            </w:r>
          </w:p>
        </w:tc>
        <w:tc>
          <w:tcPr>
            <w:tcW w:w="2501" w:type="dxa"/>
            <w:shd w:val="clear" w:color="auto" w:fill="auto"/>
          </w:tcPr>
          <w:p w14:paraId="1AC057DA" w14:textId="77777777" w:rsidR="00E443C0" w:rsidRPr="004231D0" w:rsidRDefault="00E443C0" w:rsidP="00E443C0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t>Reject</w:t>
            </w:r>
            <w:r>
              <w:rPr>
                <w:b/>
                <w:bCs/>
                <w:sz w:val="20"/>
              </w:rPr>
              <w:t>ed</w:t>
            </w:r>
            <w:r w:rsidRPr="004231D0">
              <w:rPr>
                <w:b/>
                <w:bCs/>
                <w:sz w:val="20"/>
              </w:rPr>
              <w:t>.</w:t>
            </w:r>
          </w:p>
          <w:p w14:paraId="5FF70535" w14:textId="77777777" w:rsidR="00E443C0" w:rsidRDefault="00E443C0" w:rsidP="00E443C0">
            <w:pPr>
              <w:rPr>
                <w:sz w:val="20"/>
              </w:rPr>
            </w:pPr>
          </w:p>
          <w:p w14:paraId="228FB93E" w14:textId="77777777" w:rsidR="00E443C0" w:rsidRPr="00A835E5" w:rsidRDefault="00E443C0" w:rsidP="00E443C0">
            <w:pPr>
              <w:rPr>
                <w:sz w:val="20"/>
                <w:lang w:val="en-SG"/>
              </w:rPr>
            </w:pPr>
            <w:r w:rsidRPr="00A835E5">
              <w:rPr>
                <w:sz w:val="20"/>
                <w:lang w:val="en-SG"/>
              </w:rPr>
              <w:t xml:space="preserve">The group discussed and ran SPs in both PHY ad-hoc and Joint conference call regarding whether </w:t>
            </w:r>
            <w:proofErr w:type="spellStart"/>
            <w:r w:rsidRPr="00A835E5">
              <w:rPr>
                <w:sz w:val="20"/>
                <w:lang w:val="en-SG"/>
              </w:rPr>
              <w:t>TGbe</w:t>
            </w:r>
            <w:proofErr w:type="spellEnd"/>
            <w:r w:rsidRPr="00A835E5">
              <w:rPr>
                <w:sz w:val="20"/>
                <w:lang w:val="en-SG"/>
              </w:rPr>
              <w:t xml:space="preserve"> needs to support 16 SS or not and decided not to. The SP is shown here: " Do you agree that 802.11be shall not define operation with more than 8 spatial streams </w:t>
            </w:r>
            <w:r w:rsidRPr="00A835E5">
              <w:rPr>
                <w:sz w:val="20"/>
                <w:lang w:val="en-SG"/>
              </w:rPr>
              <w:lastRenderedPageBreak/>
              <w:t>and that the format of all subfields related to spatial streams shall remain unchanged (</w:t>
            </w:r>
            <w:proofErr w:type="gramStart"/>
            <w:r w:rsidRPr="00A835E5">
              <w:rPr>
                <w:sz w:val="20"/>
                <w:lang w:val="en-SG"/>
              </w:rPr>
              <w:t>i.e.</w:t>
            </w:r>
            <w:proofErr w:type="gramEnd"/>
            <w:r w:rsidRPr="00A835E5">
              <w:rPr>
                <w:sz w:val="20"/>
                <w:lang w:val="en-SG"/>
              </w:rPr>
              <w:t xml:space="preserve"> no changing the number of bits)?" and the result in PHY ad-hoc was 22Y, 4N, 5A while the result in Joint was 51Y, 12N, 26A".</w:t>
            </w:r>
          </w:p>
          <w:p w14:paraId="7EC24414" w14:textId="77777777" w:rsidR="00E443C0" w:rsidRDefault="00E443C0" w:rsidP="00E443C0">
            <w:pPr>
              <w:rPr>
                <w:sz w:val="20"/>
              </w:rPr>
            </w:pPr>
          </w:p>
          <w:p w14:paraId="7DBABB2F" w14:textId="77777777" w:rsidR="00E443C0" w:rsidRPr="002A08B9" w:rsidRDefault="00E443C0" w:rsidP="00E443C0">
            <w:pPr>
              <w:rPr>
                <w:sz w:val="20"/>
              </w:rPr>
            </w:pPr>
          </w:p>
        </w:tc>
      </w:tr>
    </w:tbl>
    <w:p w14:paraId="0E6C27B0" w14:textId="3851BB96" w:rsidR="006074F6" w:rsidRDefault="006074F6" w:rsidP="00CD0E2D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</w:p>
    <w:p w14:paraId="6A1A96F4" w14:textId="191E0A33" w:rsidR="00CD0E2D" w:rsidRDefault="00CD0E2D" w:rsidP="00CD0E2D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</w:p>
    <w:p w14:paraId="4BE31BD2" w14:textId="2EBF0A5F" w:rsidR="00754636" w:rsidRDefault="00754636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754636">
        <w:rPr>
          <w:b/>
          <w:bCs/>
          <w:u w:val="single"/>
          <w:lang w:val="en-US" w:eastAsia="zh-CN"/>
        </w:rPr>
        <w:t>Discussion:</w:t>
      </w:r>
      <w:r w:rsidRPr="00754636">
        <w:rPr>
          <w:lang w:val="en-US" w:eastAsia="zh-CN"/>
        </w:rPr>
        <w:t xml:space="preserve"> </w:t>
      </w:r>
    </w:p>
    <w:p w14:paraId="1323C685" w14:textId="77777777" w:rsidR="002D1522" w:rsidRDefault="002D1522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58B8BF6A" w14:textId="388CF871" w:rsidR="00754636" w:rsidRDefault="00754636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754636">
        <w:rPr>
          <w:b/>
          <w:bCs/>
          <w:u w:val="single"/>
          <w:lang w:val="en-US" w:eastAsia="zh-CN"/>
        </w:rPr>
        <w:t>Propose:</w:t>
      </w:r>
      <w:r w:rsidR="008E1737">
        <w:rPr>
          <w:lang w:val="en-US" w:eastAsia="zh-CN"/>
        </w:rPr>
        <w:t xml:space="preserve"> </w:t>
      </w:r>
    </w:p>
    <w:p w14:paraId="06936715" w14:textId="44471A89" w:rsidR="00E443C0" w:rsidRPr="008E1737" w:rsidRDefault="00E443C0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</w:p>
    <w:sectPr w:rsidR="00E443C0" w:rsidRPr="008E1737" w:rsidSect="00E443C0">
      <w:headerReference w:type="default" r:id="rId10"/>
      <w:footerReference w:type="default" r:id="rId11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193C" w14:textId="77777777" w:rsidR="00887E2B" w:rsidRDefault="00887E2B">
      <w:r>
        <w:separator/>
      </w:r>
    </w:p>
  </w:endnote>
  <w:endnote w:type="continuationSeparator" w:id="0">
    <w:p w14:paraId="4FC52DA3" w14:textId="77777777" w:rsidR="00887E2B" w:rsidRDefault="0088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8F13" w14:textId="7589BDF9" w:rsidR="00EA5D85" w:rsidRDefault="00C4064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A5D85">
        <w:t>Submission</w:t>
      </w:r>
    </w:fldSimple>
    <w:r w:rsidR="00EA5D85">
      <w:tab/>
      <w:t xml:space="preserve">page </w:t>
    </w:r>
    <w:r w:rsidR="00EA5D85">
      <w:fldChar w:fldCharType="begin"/>
    </w:r>
    <w:r w:rsidR="00EA5D85">
      <w:instrText xml:space="preserve">page </w:instrText>
    </w:r>
    <w:r w:rsidR="00EA5D85">
      <w:fldChar w:fldCharType="separate"/>
    </w:r>
    <w:r w:rsidR="005E24CC">
      <w:rPr>
        <w:noProof/>
      </w:rPr>
      <w:t>3</w:t>
    </w:r>
    <w:r w:rsidR="00EA5D85">
      <w:fldChar w:fldCharType="end"/>
    </w:r>
    <w:r w:rsidR="00EA5D85">
      <w:tab/>
    </w:r>
    <w:r w:rsidR="00076A81">
      <w:t>Yanyi Ding (Panasonic)</w:t>
    </w:r>
  </w:p>
  <w:p w14:paraId="762A7602" w14:textId="77777777" w:rsidR="00EA5D85" w:rsidRDefault="00EA5D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2CDC" w14:textId="77777777" w:rsidR="00887E2B" w:rsidRDefault="00887E2B">
      <w:r>
        <w:separator/>
      </w:r>
    </w:p>
  </w:footnote>
  <w:footnote w:type="continuationSeparator" w:id="0">
    <w:p w14:paraId="7790CC3B" w14:textId="77777777" w:rsidR="00887E2B" w:rsidRDefault="0088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B57D" w14:textId="0244682A" w:rsidR="00EA5D85" w:rsidRDefault="00EA5D85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</w:t>
    </w:r>
    <w:r w:rsidR="006F5A19">
      <w:rPr>
        <w:lang w:eastAsia="zh-CN"/>
      </w:rPr>
      <w:t>y</w:t>
    </w:r>
    <w:r>
      <w:rPr>
        <w:rFonts w:hint="eastAsia"/>
        <w:lang w:eastAsia="zh-CN"/>
      </w:rPr>
      <w:t xml:space="preserve"> 20</w:t>
    </w:r>
    <w:r>
      <w:rPr>
        <w:lang w:eastAsia="zh-CN"/>
      </w:rPr>
      <w:t>2</w:t>
    </w:r>
    <w:r w:rsidR="001630AB">
      <w:rPr>
        <w:lang w:eastAsia="zh-CN"/>
      </w:rPr>
      <w:t>2</w:t>
    </w:r>
    <w:r>
      <w:tab/>
    </w:r>
    <w:r>
      <w:tab/>
    </w:r>
    <w:fldSimple w:instr=" TITLE  \* MERGEFORMAT ">
      <w:r>
        <w:t>doc.: IEEE 802.11-2</w:t>
      </w:r>
      <w:r w:rsidR="006074F6">
        <w:t>2</w:t>
      </w:r>
      <w:r>
        <w:t>/</w:t>
      </w:r>
      <w:r w:rsidR="00076A81" w:rsidRPr="00076A81">
        <w:t>1120</w:t>
      </w:r>
      <w:r>
        <w:rPr>
          <w:rFonts w:hint="eastAsia"/>
        </w:rPr>
        <w:t>r</w:t>
      </w:r>
    </w:fldSimple>
    <w:r w:rsidR="00DA08C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3532695"/>
    <w:multiLevelType w:val="hybridMultilevel"/>
    <w:tmpl w:val="CAF6E562"/>
    <w:lvl w:ilvl="0" w:tplc="46E67810">
      <w:start w:val="1"/>
      <w:numFmt w:val="bullet"/>
      <w:lvlText w:val="•"/>
      <w:lvlJc w:val="left"/>
      <w:pPr>
        <w:ind w:left="1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ED065F"/>
    <w:multiLevelType w:val="hybridMultilevel"/>
    <w:tmpl w:val="D0A00050"/>
    <w:lvl w:ilvl="0" w:tplc="D8F2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94590"/>
    <w:multiLevelType w:val="multilevel"/>
    <w:tmpl w:val="BC3E3C8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120C68"/>
    <w:multiLevelType w:val="hybridMultilevel"/>
    <w:tmpl w:val="3C887A02"/>
    <w:lvl w:ilvl="0" w:tplc="9E5808CE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568F2"/>
    <w:multiLevelType w:val="hybridMultilevel"/>
    <w:tmpl w:val="CF488AF4"/>
    <w:lvl w:ilvl="0" w:tplc="33D6F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E42D9"/>
    <w:multiLevelType w:val="hybridMultilevel"/>
    <w:tmpl w:val="915AB70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A05E76"/>
    <w:multiLevelType w:val="hybridMultilevel"/>
    <w:tmpl w:val="5980D870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752D3D"/>
    <w:multiLevelType w:val="hybridMultilevel"/>
    <w:tmpl w:val="9738DE84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BA380B"/>
    <w:multiLevelType w:val="hybridMultilevel"/>
    <w:tmpl w:val="8B84DBE2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34433">
    <w:abstractNumId w:val="0"/>
    <w:lvlOverride w:ilvl="0">
      <w:lvl w:ilvl="0">
        <w:start w:val="1"/>
        <w:numFmt w:val="bullet"/>
        <w:lvlText w:val="Figure 9-9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37114907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1939678809">
    <w:abstractNumId w:val="0"/>
    <w:lvlOverride w:ilvl="0">
      <w:lvl w:ilvl="0">
        <w:start w:val="1"/>
        <w:numFmt w:val="bullet"/>
        <w:lvlText w:val="Figure 9-9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2692920">
    <w:abstractNumId w:val="0"/>
    <w:lvlOverride w:ilvl="0">
      <w:lvl w:ilvl="0">
        <w:start w:val="1"/>
        <w:numFmt w:val="bullet"/>
        <w:lvlText w:val="Figure 9-9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274218371">
    <w:abstractNumId w:val="0"/>
    <w:lvlOverride w:ilvl="0">
      <w:lvl w:ilvl="0">
        <w:start w:val="1"/>
        <w:numFmt w:val="bullet"/>
        <w:lvlText w:val="Figure 9-9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55397910">
    <w:abstractNumId w:val="7"/>
  </w:num>
  <w:num w:numId="7" w16cid:durableId="978611868">
    <w:abstractNumId w:val="8"/>
  </w:num>
  <w:num w:numId="8" w16cid:durableId="60760113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855653055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550963966">
    <w:abstractNumId w:val="0"/>
    <w:lvlOverride w:ilvl="0">
      <w:lvl w:ilvl="0">
        <w:start w:val="1"/>
        <w:numFmt w:val="bullet"/>
        <w:lvlText w:val="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826483270">
    <w:abstractNumId w:val="0"/>
    <w:lvlOverride w:ilvl="0">
      <w:lvl w:ilvl="0">
        <w:start w:val="1"/>
        <w:numFmt w:val="bullet"/>
        <w:lvlText w:val="7.2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063554271">
    <w:abstractNumId w:val="0"/>
    <w:lvlOverride w:ilvl="0">
      <w:lvl w:ilvl="0">
        <w:start w:val="1"/>
        <w:numFmt w:val="bullet"/>
        <w:lvlText w:val="7.2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61166616">
    <w:abstractNumId w:val="0"/>
    <w:lvlOverride w:ilvl="0">
      <w:lvl w:ilvl="0">
        <w:start w:val="1"/>
        <w:numFmt w:val="bullet"/>
        <w:lvlText w:val="7.2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715888415">
    <w:abstractNumId w:val="0"/>
    <w:lvlOverride w:ilvl="0">
      <w:lvl w:ilvl="0">
        <w:start w:val="1"/>
        <w:numFmt w:val="bullet"/>
        <w:lvlText w:val="7.2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40454108">
    <w:abstractNumId w:val="0"/>
    <w:lvlOverride w:ilvl="0">
      <w:lvl w:ilvl="0">
        <w:start w:val="1"/>
        <w:numFmt w:val="bullet"/>
        <w:lvlText w:val="9.4.2.25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14687204">
    <w:abstractNumId w:val="0"/>
    <w:lvlOverride w:ilvl="0">
      <w:lvl w:ilvl="0">
        <w:start w:val="1"/>
        <w:numFmt w:val="bullet"/>
        <w:lvlText w:val="Figure 9-788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8331876">
    <w:abstractNumId w:val="0"/>
    <w:lvlOverride w:ilvl="0">
      <w:lvl w:ilvl="0">
        <w:start w:val="1"/>
        <w:numFmt w:val="bullet"/>
        <w:lvlText w:val="Figure 9-788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734040502">
    <w:abstractNumId w:val="0"/>
    <w:lvlOverride w:ilvl="0">
      <w:lvl w:ilvl="0">
        <w:start w:val="1"/>
        <w:numFmt w:val="bullet"/>
        <w:lvlText w:val="Table 9-32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527835146">
    <w:abstractNumId w:val="0"/>
    <w:lvlOverride w:ilvl="0">
      <w:lvl w:ilvl="0">
        <w:start w:val="1"/>
        <w:numFmt w:val="bullet"/>
        <w:lvlText w:val="11.2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725566699">
    <w:abstractNumId w:val="4"/>
  </w:num>
  <w:num w:numId="21" w16cid:durableId="227767922">
    <w:abstractNumId w:val="0"/>
    <w:lvlOverride w:ilvl="0">
      <w:lvl w:ilvl="0">
        <w:start w:val="1"/>
        <w:numFmt w:val="bullet"/>
        <w:lvlText w:val="Figure 9-8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891915752">
    <w:abstractNumId w:val="0"/>
    <w:lvlOverride w:ilvl="0">
      <w:lvl w:ilvl="0">
        <w:start w:val="1"/>
        <w:numFmt w:val="bullet"/>
        <w:lvlText w:val="Figure 9-8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989700911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64906922">
    <w:abstractNumId w:val="1"/>
  </w:num>
  <w:num w:numId="25" w16cid:durableId="366754674">
    <w:abstractNumId w:val="10"/>
  </w:num>
  <w:num w:numId="26" w16cid:durableId="2130274255">
    <w:abstractNumId w:val="9"/>
  </w:num>
  <w:num w:numId="27" w16cid:durableId="514924204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854274426">
    <w:abstractNumId w:val="2"/>
  </w:num>
  <w:num w:numId="29" w16cid:durableId="1103963315">
    <w:abstractNumId w:val="11"/>
  </w:num>
  <w:num w:numId="30" w16cid:durableId="1667902484">
    <w:abstractNumId w:val="5"/>
  </w:num>
  <w:num w:numId="31" w16cid:durableId="1502086060">
    <w:abstractNumId w:val="6"/>
  </w:num>
  <w:num w:numId="32" w16cid:durableId="174197520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41F"/>
    <w:rsid w:val="00013C61"/>
    <w:rsid w:val="000146B2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007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2631"/>
    <w:rsid w:val="000328BA"/>
    <w:rsid w:val="00032E7D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F7"/>
    <w:rsid w:val="000542E4"/>
    <w:rsid w:val="0005455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005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6A8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AA2"/>
    <w:rsid w:val="00086E6E"/>
    <w:rsid w:val="00086F98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68"/>
    <w:rsid w:val="000C2AF7"/>
    <w:rsid w:val="000C30D8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0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5F1"/>
    <w:rsid w:val="000F374D"/>
    <w:rsid w:val="000F3F7E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0BDA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957"/>
    <w:rsid w:val="00133DAE"/>
    <w:rsid w:val="001347DC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3FF9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835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676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17F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D89"/>
    <w:rsid w:val="002C4037"/>
    <w:rsid w:val="002C448B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A1D"/>
    <w:rsid w:val="002D0A46"/>
    <w:rsid w:val="002D0AFE"/>
    <w:rsid w:val="002D1106"/>
    <w:rsid w:val="002D139F"/>
    <w:rsid w:val="002D1522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983"/>
    <w:rsid w:val="00357A25"/>
    <w:rsid w:val="00357F37"/>
    <w:rsid w:val="003607B6"/>
    <w:rsid w:val="003607DC"/>
    <w:rsid w:val="00360A94"/>
    <w:rsid w:val="00360D1C"/>
    <w:rsid w:val="003610D7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C78"/>
    <w:rsid w:val="00376353"/>
    <w:rsid w:val="00376ED6"/>
    <w:rsid w:val="00377D9A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A20"/>
    <w:rsid w:val="0038630E"/>
    <w:rsid w:val="003866EA"/>
    <w:rsid w:val="00386DD2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994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EB2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C85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B2B"/>
    <w:rsid w:val="003D7C13"/>
    <w:rsid w:val="003E0130"/>
    <w:rsid w:val="003E14D8"/>
    <w:rsid w:val="003E1F55"/>
    <w:rsid w:val="003E2BDD"/>
    <w:rsid w:val="003E2DA5"/>
    <w:rsid w:val="003E3085"/>
    <w:rsid w:val="003E31AA"/>
    <w:rsid w:val="003E3467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1D0"/>
    <w:rsid w:val="004235BC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496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13E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2E92"/>
    <w:rsid w:val="005154AE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11F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9EF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330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41BF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30B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95F"/>
    <w:rsid w:val="005D6AEE"/>
    <w:rsid w:val="005D6DD3"/>
    <w:rsid w:val="005D6EE5"/>
    <w:rsid w:val="005D7200"/>
    <w:rsid w:val="005D72BE"/>
    <w:rsid w:val="005D7777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4CC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C60"/>
    <w:rsid w:val="005F6F65"/>
    <w:rsid w:val="005F701B"/>
    <w:rsid w:val="005F763A"/>
    <w:rsid w:val="005F7C58"/>
    <w:rsid w:val="005F7E7C"/>
    <w:rsid w:val="00601426"/>
    <w:rsid w:val="0060187D"/>
    <w:rsid w:val="00602212"/>
    <w:rsid w:val="00602248"/>
    <w:rsid w:val="0060272C"/>
    <w:rsid w:val="006028FF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2D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0BA"/>
    <w:rsid w:val="006601C5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6B2B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D05"/>
    <w:rsid w:val="00694471"/>
    <w:rsid w:val="00694AE6"/>
    <w:rsid w:val="00695605"/>
    <w:rsid w:val="00695A44"/>
    <w:rsid w:val="00695F3D"/>
    <w:rsid w:val="006961A9"/>
    <w:rsid w:val="00696316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AFE"/>
    <w:rsid w:val="006A226A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3E91"/>
    <w:rsid w:val="006F431E"/>
    <w:rsid w:val="006F4869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4FE9"/>
    <w:rsid w:val="0072505F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636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AA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5BE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1696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87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87E2B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23"/>
    <w:rsid w:val="008C7A65"/>
    <w:rsid w:val="008D042A"/>
    <w:rsid w:val="008D05BF"/>
    <w:rsid w:val="008D0BC8"/>
    <w:rsid w:val="008D0C52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737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65D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C23"/>
    <w:rsid w:val="009621F6"/>
    <w:rsid w:val="00962304"/>
    <w:rsid w:val="009625A7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538"/>
    <w:rsid w:val="009749BE"/>
    <w:rsid w:val="00974FE0"/>
    <w:rsid w:val="009752F7"/>
    <w:rsid w:val="0097538E"/>
    <w:rsid w:val="009769C4"/>
    <w:rsid w:val="00976A1F"/>
    <w:rsid w:val="00977A1A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5D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3EE8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01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0E37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950"/>
    <w:rsid w:val="009F7DAB"/>
    <w:rsid w:val="00A00DBE"/>
    <w:rsid w:val="00A00EF1"/>
    <w:rsid w:val="00A00FFD"/>
    <w:rsid w:val="00A01402"/>
    <w:rsid w:val="00A01439"/>
    <w:rsid w:val="00A01830"/>
    <w:rsid w:val="00A02002"/>
    <w:rsid w:val="00A0265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E37"/>
    <w:rsid w:val="00A51E98"/>
    <w:rsid w:val="00A51F9E"/>
    <w:rsid w:val="00A5227D"/>
    <w:rsid w:val="00A52CFE"/>
    <w:rsid w:val="00A53BCC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79F"/>
    <w:rsid w:val="00A639A3"/>
    <w:rsid w:val="00A63E2F"/>
    <w:rsid w:val="00A643F6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5E5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27DB8"/>
    <w:rsid w:val="00B306F5"/>
    <w:rsid w:val="00B3093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A52"/>
    <w:rsid w:val="00B36E83"/>
    <w:rsid w:val="00B36F26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1859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339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783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49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539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377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83F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0E2D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4637"/>
    <w:rsid w:val="00CE4E10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A8A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AA9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3C62"/>
    <w:rsid w:val="00D64562"/>
    <w:rsid w:val="00D646B7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6CDC"/>
    <w:rsid w:val="00D97628"/>
    <w:rsid w:val="00D97BFA"/>
    <w:rsid w:val="00D97E8B"/>
    <w:rsid w:val="00D97F55"/>
    <w:rsid w:val="00DA0535"/>
    <w:rsid w:val="00DA08C1"/>
    <w:rsid w:val="00DA0A3F"/>
    <w:rsid w:val="00DA0A59"/>
    <w:rsid w:val="00DA1112"/>
    <w:rsid w:val="00DA1272"/>
    <w:rsid w:val="00DA1282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4BF"/>
    <w:rsid w:val="00DE0832"/>
    <w:rsid w:val="00DE112D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3C0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326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3AA"/>
    <w:rsid w:val="00E735C3"/>
    <w:rsid w:val="00E73883"/>
    <w:rsid w:val="00E742E9"/>
    <w:rsid w:val="00E743A2"/>
    <w:rsid w:val="00E74EA4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5E2B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49A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391"/>
    <w:rsid w:val="00F56768"/>
    <w:rsid w:val="00F56ABC"/>
    <w:rsid w:val="00F56E70"/>
    <w:rsid w:val="00F57C0D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7044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54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4A"/>
    <w:rsid w:val="00FD2FDA"/>
    <w:rsid w:val="00FD3279"/>
    <w:rsid w:val="00FD3CF3"/>
    <w:rsid w:val="00FD42C4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350"/>
    <w:rsid w:val="00FF6694"/>
    <w:rsid w:val="00FF6695"/>
    <w:rsid w:val="00FF6904"/>
    <w:rsid w:val="00FF723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C96FA5"/>
    <w:pPr>
      <w:spacing w:after="120"/>
    </w:pPr>
  </w:style>
  <w:style w:type="character" w:customStyle="1" w:styleId="BodyTextChar">
    <w:name w:val="Body Text Char"/>
    <w:link w:val="BodyText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Emphasis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296836C39494297FB4CD847280E05" ma:contentTypeVersion="10" ma:contentTypeDescription="Create a new document." ma:contentTypeScope="" ma:versionID="5c098b03faf5d489fee9c2d4bfc88c6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1eaf799a8b433f3b45fe967f71fc9962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0B2ED30D-92B5-47CC-B5D9-36626DFC0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6B524-1FA1-414D-9DEE-5C03759B3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FC218-2CF8-4790-A7F3-CB90B2F6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2609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Yanyi Ding</cp:lastModifiedBy>
  <cp:revision>5</cp:revision>
  <dcterms:created xsi:type="dcterms:W3CDTF">2022-09-05T03:51:00Z</dcterms:created>
  <dcterms:modified xsi:type="dcterms:W3CDTF">2022-09-07T09:12:00Z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(3)ZEx5Gw6pC55iCHyZd6MYY0FFMYTv1r/1i5OmUKn3Ls7AhuMwNVFweDidGwjxZZh3qBpCHW71
R6JHiF2yiVk8geMyC4Tqjygl6xvmr1QSy6hdQsoQoxbOkdc4YkHLI7HKv9dxqbHDQltkJWri
edMp5rhdw7FbvK82eFqegYTFJfQc0ax7YLWHeHU9dps+KnAv0+D0jVnZe4i5DGnp6j8baKSi
91V8hm9K/O8VK9H9ZK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uf+CuqmPY5MbVVbPuCGe6RNfOg9LDY1cgfmCfuiPOQc4uUgrkWZdT8
7taeTiG4DxEDHhQoja36FXAs4jUbwK6MfMdSv9+7Tc0iNzX6BBCNhrKRND1Rm0SVyL8QWbCb
qKTJhv2SR1FH1rvQJMo46U+SAxjkLecMXGMe/eRVvsvjy6kFCKnswdJvFtTdOOuq483+kpDU
Qejz03/1e0ZP4ZA6sqPh55T4uEW5t5nWpY2K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fiOby6BQ6ow5P9bXqR9LWlQ=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1657177774</vt:lpwstr>
  </property>
</Properties>
</file>