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415"/>
        <w:gridCol w:w="850"/>
        <w:gridCol w:w="391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0B78AA59" w:rsidR="00CA09B2" w:rsidRDefault="00391BA2">
            <w:pPr>
              <w:pStyle w:val="T2"/>
            </w:pPr>
            <w:r>
              <w:t>Channel mapping from 5 and 6 GHz to LC IF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61B51180" w:rsidR="00CA09B2" w:rsidRDefault="00CA09B2" w:rsidP="002675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391BA2">
              <w:rPr>
                <w:b w:val="0"/>
                <w:sz w:val="20"/>
              </w:rPr>
              <w:t>7</w:t>
            </w:r>
            <w:r w:rsidR="00483470">
              <w:rPr>
                <w:b w:val="0"/>
                <w:sz w:val="20"/>
              </w:rPr>
              <w:t>-</w:t>
            </w:r>
            <w:r w:rsidR="00391BA2">
              <w:rPr>
                <w:b w:val="0"/>
                <w:sz w:val="20"/>
              </w:rPr>
              <w:t>1</w:t>
            </w:r>
            <w:r w:rsidR="002675AA">
              <w:rPr>
                <w:b w:val="0"/>
                <w:sz w:val="20"/>
              </w:rPr>
              <w:t>3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D6226D">
        <w:trPr>
          <w:jc w:val="center"/>
        </w:trPr>
        <w:tc>
          <w:tcPr>
            <w:tcW w:w="169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5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91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D6226D">
        <w:trPr>
          <w:jc w:val="center"/>
        </w:trPr>
        <w:tc>
          <w:tcPr>
            <w:tcW w:w="1696" w:type="dxa"/>
            <w:vAlign w:val="center"/>
          </w:tcPr>
          <w:p w14:paraId="11571D2A" w14:textId="0F2146FB" w:rsidR="00CA09B2" w:rsidRDefault="00391BA2" w:rsidP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</w:t>
            </w:r>
            <w:r w:rsidR="0048347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Jungnickel</w:t>
            </w:r>
          </w:p>
        </w:tc>
        <w:tc>
          <w:tcPr>
            <w:tcW w:w="1704" w:type="dxa"/>
            <w:vAlign w:val="center"/>
          </w:tcPr>
          <w:p w14:paraId="560682F0" w14:textId="276E9176" w:rsidR="00CA09B2" w:rsidRDefault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1415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7B38B54B" w14:textId="3AF33DE7" w:rsidR="00CA09B2" w:rsidRDefault="00391B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B229FE">
                <w:rPr>
                  <w:rStyle w:val="Hyperlink"/>
                  <w:b w:val="0"/>
                  <w:sz w:val="16"/>
                </w:rPr>
                <w:t>volker.jungnickel@hhi.fraunhofer.de</w:t>
              </w:r>
            </w:hyperlink>
            <w:r>
              <w:rPr>
                <w:b w:val="0"/>
                <w:sz w:val="16"/>
              </w:rPr>
              <w:t xml:space="preserve">  </w:t>
            </w:r>
          </w:p>
        </w:tc>
      </w:tr>
      <w:tr w:rsidR="00CA09B2" w14:paraId="3D9ED75A" w14:textId="77777777" w:rsidTr="00D6226D">
        <w:trPr>
          <w:jc w:val="center"/>
        </w:trPr>
        <w:tc>
          <w:tcPr>
            <w:tcW w:w="1696" w:type="dxa"/>
            <w:vAlign w:val="center"/>
          </w:tcPr>
          <w:p w14:paraId="314CF41E" w14:textId="6ED73397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Goodson</w:t>
            </w:r>
          </w:p>
        </w:tc>
        <w:tc>
          <w:tcPr>
            <w:tcW w:w="1704" w:type="dxa"/>
            <w:vAlign w:val="center"/>
          </w:tcPr>
          <w:p w14:paraId="703DDF96" w14:textId="05B13421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1415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26D45" w14:paraId="60E87FAD" w14:textId="77777777" w:rsidTr="00D6226D">
        <w:trPr>
          <w:jc w:val="center"/>
        </w:trPr>
        <w:tc>
          <w:tcPr>
            <w:tcW w:w="1696" w:type="dxa"/>
            <w:vAlign w:val="center"/>
          </w:tcPr>
          <w:p w14:paraId="0ADAD23D" w14:textId="46A4254D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Habel</w:t>
            </w:r>
          </w:p>
        </w:tc>
        <w:tc>
          <w:tcPr>
            <w:tcW w:w="1704" w:type="dxa"/>
            <w:vAlign w:val="center"/>
          </w:tcPr>
          <w:p w14:paraId="07C033EC" w14:textId="4FD78D3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HHI</w:t>
            </w:r>
          </w:p>
        </w:tc>
        <w:tc>
          <w:tcPr>
            <w:tcW w:w="1415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3201CD04" w:rsidR="00980133" w:rsidRDefault="00391BA2" w:rsidP="00391BA2">
                            <w:pPr>
                              <w:jc w:val="both"/>
                            </w:pPr>
                            <w:r>
                              <w:t xml:space="preserve">This contribution proposes revised working </w:t>
                            </w:r>
                            <w:r w:rsidR="001208FA">
                              <w:t xml:space="preserve">text </w:t>
                            </w:r>
                            <w:r>
                              <w:t xml:space="preserve">for the channel mapping in 32.3.4 in D3.0. It has been prepared to assist </w:t>
                            </w:r>
                            <w:r w:rsidR="001208FA">
                              <w:t xml:space="preserve">the </w:t>
                            </w:r>
                            <w:r>
                              <w:t>resolution of CID</w:t>
                            </w:r>
                            <w:r w:rsidR="001208FA">
                              <w:t xml:space="preserve">s </w:t>
                            </w:r>
                            <w:r>
                              <w:t xml:space="preserve">32 </w:t>
                            </w:r>
                            <w:r w:rsidR="001208FA">
                              <w:t xml:space="preserve">and 38 </w:t>
                            </w:r>
                            <w:r>
                              <w:t>in doc. 11-22-0949-01.</w:t>
                            </w:r>
                          </w:p>
                          <w:p w14:paraId="156B6A7C" w14:textId="56C28B84" w:rsidR="00980133" w:rsidRDefault="00980133">
                            <w:pPr>
                              <w:jc w:val="both"/>
                            </w:pPr>
                          </w:p>
                          <w:p w14:paraId="006F3BB2" w14:textId="20654901" w:rsidR="00741898" w:rsidRDefault="00741898">
                            <w:pPr>
                              <w:jc w:val="both"/>
                            </w:pPr>
                            <w:r>
                              <w:t>Rev.0: initial text for discussion</w:t>
                            </w:r>
                          </w:p>
                          <w:p w14:paraId="68AE5C5D" w14:textId="71ECAE5B" w:rsidR="00741898" w:rsidRDefault="00741898">
                            <w:pPr>
                              <w:jc w:val="both"/>
                            </w:pPr>
                            <w:r>
                              <w:t>Rev.1: new text after discussion, adding also the graph from doc. 11-22-1088r1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3201CD04" w:rsidR="00980133" w:rsidRDefault="00391BA2" w:rsidP="00391BA2">
                      <w:pPr>
                        <w:jc w:val="both"/>
                      </w:pPr>
                      <w:r>
                        <w:t xml:space="preserve">This contribution proposes revised working </w:t>
                      </w:r>
                      <w:r w:rsidR="001208FA">
                        <w:t xml:space="preserve">text </w:t>
                      </w:r>
                      <w:r>
                        <w:t xml:space="preserve">for the channel mapping in 32.3.4 in D3.0. It has been prepared to assist </w:t>
                      </w:r>
                      <w:r w:rsidR="001208FA">
                        <w:t xml:space="preserve">the </w:t>
                      </w:r>
                      <w:r>
                        <w:t>resolution of CID</w:t>
                      </w:r>
                      <w:r w:rsidR="001208FA">
                        <w:t xml:space="preserve">s </w:t>
                      </w:r>
                      <w:r>
                        <w:t xml:space="preserve">32 </w:t>
                      </w:r>
                      <w:r w:rsidR="001208FA">
                        <w:t xml:space="preserve">and 38 </w:t>
                      </w:r>
                      <w:r>
                        <w:t>in doc. 11-22-0949-01.</w:t>
                      </w:r>
                    </w:p>
                    <w:p w14:paraId="156B6A7C" w14:textId="56C28B84" w:rsidR="00980133" w:rsidRDefault="00980133">
                      <w:pPr>
                        <w:jc w:val="both"/>
                      </w:pPr>
                    </w:p>
                    <w:p w14:paraId="006F3BB2" w14:textId="20654901" w:rsidR="00741898" w:rsidRDefault="00741898">
                      <w:pPr>
                        <w:jc w:val="both"/>
                      </w:pPr>
                      <w:r>
                        <w:t>Rev.0: initial text for discussion</w:t>
                      </w:r>
                    </w:p>
                    <w:p w14:paraId="68AE5C5D" w14:textId="71ECAE5B" w:rsidR="00741898" w:rsidRDefault="00741898">
                      <w:pPr>
                        <w:jc w:val="both"/>
                      </w:pPr>
                      <w:r>
                        <w:t>Rev.1: new text after discussion, adding also the graph from doc. 11-22-1088r1</w:t>
                      </w:r>
                    </w:p>
                  </w:txbxContent>
                </v:textbox>
              </v:shape>
            </w:pict>
          </mc:Fallback>
        </mc:AlternateContent>
      </w:r>
    </w:p>
    <w:p w14:paraId="719E57EC" w14:textId="21571B1E" w:rsidR="00CA09B2" w:rsidRDefault="00CA09B2">
      <w:r>
        <w:br w:type="page"/>
      </w:r>
    </w:p>
    <w:p w14:paraId="2AA8AF36" w14:textId="77777777" w:rsidR="00391BA2" w:rsidRDefault="00461EBC" w:rsidP="00391BA2">
      <w:pPr>
        <w:pStyle w:val="IEEEStdsParagraph"/>
      </w:pPr>
      <w:r>
        <w:lastRenderedPageBreak/>
        <w:t xml:space="preserve"> </w:t>
      </w:r>
      <w:r w:rsidR="00391BA2">
        <w:t>The current description of the mapping in D2.1 was found confusing. Things to be done:</w:t>
      </w:r>
    </w:p>
    <w:p w14:paraId="2456873B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Reverse the order (map from RF to LC IF) and not the other way around. This makes understanding easier.</w:t>
      </w:r>
    </w:p>
    <w:p w14:paraId="268EA964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Describe clearly what happens to each 20 MHz sub-channel in 40 MHz channels in the 5 GHz band</w:t>
      </w:r>
    </w:p>
    <w:p w14:paraId="4A053BB1" w14:textId="00ADB673" w:rsidR="00391BA2" w:rsidRDefault="00391BA2" w:rsidP="00391BA2">
      <w:pPr>
        <w:pStyle w:val="IEEEStdsParagraph"/>
        <w:numPr>
          <w:ilvl w:val="0"/>
          <w:numId w:val="2"/>
        </w:numPr>
      </w:pPr>
      <w:r>
        <w:t xml:space="preserve">Clarify </w:t>
      </w:r>
      <w:r w:rsidR="002F4228">
        <w:t xml:space="preserve">how </w:t>
      </w:r>
      <w:r>
        <w:t xml:space="preserve">the mapping goes </w:t>
      </w:r>
      <w:r w:rsidR="002F4228">
        <w:t xml:space="preserve">from 5G+6G to </w:t>
      </w:r>
      <w:r>
        <w:t>LC IF</w:t>
      </w:r>
      <w:r w:rsidR="002F4228">
        <w:t xml:space="preserve"> channel numbers</w:t>
      </w:r>
      <w:r>
        <w:t>.</w:t>
      </w:r>
    </w:p>
    <w:p w14:paraId="45CFD163" w14:textId="782365D3" w:rsidR="00391BA2" w:rsidRDefault="00391BA2" w:rsidP="00391BA2">
      <w:pPr>
        <w:pStyle w:val="IEEEStdsParagraph"/>
      </w:pPr>
      <w:r>
        <w:t>Proposed new text</w:t>
      </w:r>
      <w:r>
        <w:t xml:space="preserve"> in 32.3.4 Channel numbering </w:t>
      </w:r>
    </w:p>
    <w:p w14:paraId="50A0A5DF" w14:textId="77777777" w:rsidR="00391BA2" w:rsidRDefault="00391BA2" w:rsidP="00391BA2">
      <w:pPr>
        <w:pStyle w:val="IEEEStdsParagraph"/>
      </w:pPr>
      <w:r>
        <w:t xml:space="preserve">The set of valid operating channel numbers for LC IF signals mapped to the 5 GHz band is defined as follows:  </w:t>
      </w:r>
    </w:p>
    <w:p w14:paraId="3E082CDC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>The 20 MHz  channels {36, 40, 44, 48, 52, 56, 60, 64}</w:t>
      </w:r>
      <w:r w:rsidRPr="00D65BCD">
        <w:t xml:space="preserve"> </w:t>
      </w:r>
      <w:r>
        <w:t>in the 5 GHz band shall be mapped to the 20 MHz LC IF channels {1, 5, 9, 13, 17, 21, 25, 29} respectively;</w:t>
      </w:r>
    </w:p>
    <w:p w14:paraId="5AADCD63" w14:textId="7F506FB4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PrimaryChannelLowerBehavior</w:t>
      </w:r>
      <w:proofErr w:type="spellEnd"/>
      <w:r w:rsidRPr="00237A02">
        <w:t xml:space="preserve"> </w:t>
      </w:r>
      <w:r w:rsidR="00C52516">
        <w:t xml:space="preserve">in the </w:t>
      </w:r>
      <w:proofErr w:type="spellStart"/>
      <w:r w:rsidR="00C52516">
        <w:t>behavioural</w:t>
      </w:r>
      <w:proofErr w:type="spellEnd"/>
      <w:r w:rsidR="00C52516">
        <w:t xml:space="preserve"> Limits Set of Operating Class 27 in Table E-</w:t>
      </w:r>
      <w:r w:rsidR="00C52516">
        <w:t xml:space="preserve">4 </w:t>
      </w:r>
      <w:r w:rsidR="00C52516">
        <w:t>applies</w:t>
      </w:r>
      <w:r w:rsidRPr="00237A02">
        <w:t xml:space="preserve">, then the 40 MHz channels {36, 44, 52, 60} </w:t>
      </w:r>
      <w:r>
        <w:t xml:space="preserve">are using the 20 MHz channel sets {[36 40], [44 48], [52 56], [60 62]} </w:t>
      </w:r>
      <w:r w:rsidRPr="00237A02">
        <w:t>in the 5 GHz band</w:t>
      </w:r>
      <w:r>
        <w:t xml:space="preserve"> (where the lower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{1, 9</w:t>
      </w:r>
      <w:r>
        <w:t>,</w:t>
      </w:r>
      <w:r w:rsidRPr="00237A02">
        <w:t xml:space="preserve"> 17, 25}, respectively,</w:t>
      </w:r>
      <w:r>
        <w:t xml:space="preserve"> </w:t>
      </w:r>
      <w:r w:rsidRPr="00237A02">
        <w:t xml:space="preserve"> </w:t>
      </w:r>
    </w:p>
    <w:p w14:paraId="58AD2428" w14:textId="6F65FAD5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</w:t>
      </w:r>
      <w:r>
        <w:t>Upper</w:t>
      </w:r>
      <w:r w:rsidRPr="00237A02">
        <w:t>Behavior</w:t>
      </w:r>
      <w:proofErr w:type="spellEnd"/>
      <w:r w:rsidRPr="00237A02">
        <w:t xml:space="preserve"> </w:t>
      </w:r>
      <w:r w:rsidR="00C52516">
        <w:t xml:space="preserve">in the </w:t>
      </w:r>
      <w:proofErr w:type="spellStart"/>
      <w:r w:rsidR="00C52516">
        <w:t>behavioural</w:t>
      </w:r>
      <w:proofErr w:type="spellEnd"/>
      <w:r w:rsidR="00C52516">
        <w:t xml:space="preserve"> Limits Set of </w:t>
      </w:r>
      <w:r>
        <w:t>Operating Class 27</w:t>
      </w:r>
      <w:r w:rsidR="00C52516">
        <w:t xml:space="preserve"> in Table E-4 applies</w:t>
      </w:r>
      <w:r w:rsidRPr="00237A02">
        <w:t>,</w:t>
      </w:r>
      <w:r w:rsidR="00C52516">
        <w:t xml:space="preserve"> </w:t>
      </w:r>
      <w:r w:rsidRPr="00237A02">
        <w:t>then the 40 MHz channels {40, 48, 56, 64}</w:t>
      </w:r>
      <w:r>
        <w:t xml:space="preserve"> are using the 20 MHz channel sets {[36 40], [44 48], [52 56], [60 62]} </w:t>
      </w:r>
      <w:r w:rsidRPr="00237A02">
        <w:t>in the 5 GHz band</w:t>
      </w:r>
      <w:r w:rsidRPr="00D65BCD">
        <w:t xml:space="preserve"> </w:t>
      </w:r>
      <w:r>
        <w:t xml:space="preserve">(where the upper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{5, 13, 21, 29}, respectively</w:t>
      </w:r>
      <w:r>
        <w:t>;</w:t>
      </w:r>
    </w:p>
    <w:p w14:paraId="05510088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 xml:space="preserve">the 80 MHz channels {42, 58} in the 5 GHz band shall be mapped to the center frequencies of the </w:t>
      </w:r>
      <w:r w:rsidRPr="00237A02">
        <w:t xml:space="preserve">80 MHz </w:t>
      </w:r>
      <w:r>
        <w:t>LC IF channels {7, 23};</w:t>
      </w:r>
    </w:p>
    <w:p w14:paraId="0F8E0766" w14:textId="77777777" w:rsidR="00391BA2" w:rsidRDefault="00391BA2" w:rsidP="00391BA2">
      <w:pPr>
        <w:pStyle w:val="IEEEStds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160 MHz channel {50} in the 5 GHz band shall be mapped to the center frequency of the </w:t>
      </w:r>
      <w:r w:rsidRPr="00237A02">
        <w:t xml:space="preserve">160 MHz </w:t>
      </w:r>
      <w:r>
        <w:t>LC IF channel {15}.</w:t>
      </w:r>
    </w:p>
    <w:p w14:paraId="56BE8B0D" w14:textId="77777777" w:rsidR="00391BA2" w:rsidRDefault="00391BA2" w:rsidP="00391BA2">
      <w:pPr>
        <w:pStyle w:val="IEEEStdsParagraph"/>
      </w:pPr>
      <w:r>
        <w:t xml:space="preserve">The mapping between the LC channels and RF channels in the 6 GHz band shall follow the rules below: </w:t>
      </w:r>
    </w:p>
    <w:p w14:paraId="66E957FF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20 MHz channels {1, 5, 9, 13, 17, 21, 25, 29} in the 6 GHz band shall be mapped to the center frequencies of 20 MHz LC IF channels {33, 37, 41, 45, 49, 53, 57, 61}; </w:t>
      </w:r>
    </w:p>
    <w:p w14:paraId="20E1CF85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40 MHz </w:t>
      </w:r>
      <w:r w:rsidRPr="00237A02">
        <w:t>channel</w:t>
      </w:r>
      <w:r>
        <w:t>s</w:t>
      </w:r>
      <w:r w:rsidRPr="00237A02">
        <w:t xml:space="preserve"> </w:t>
      </w:r>
      <w:r>
        <w:t>{3, 11, 19, 27} in the 6 GHz band</w:t>
      </w:r>
      <w:r w:rsidRPr="00BA311D">
        <w:t xml:space="preserve"> </w:t>
      </w:r>
      <w:r>
        <w:t xml:space="preserve">shall be mapped to the center frequencies of </w:t>
      </w:r>
      <w:r w:rsidRPr="00237A02">
        <w:t>40 MHz</w:t>
      </w:r>
      <w:r>
        <w:t xml:space="preserve"> LC IF channels {35, 43, 51, 59}, respectively;</w:t>
      </w:r>
    </w:p>
    <w:p w14:paraId="11E2DACA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80 MHz </w:t>
      </w:r>
      <w:r w:rsidRPr="00237A02">
        <w:t xml:space="preserve">channel </w:t>
      </w:r>
      <w:r>
        <w:t xml:space="preserve">{7, 23} in the 6 GHz band shall be mapped to the center frequencies of </w:t>
      </w:r>
      <w:r w:rsidRPr="00237A02">
        <w:t>80 MHz</w:t>
      </w:r>
      <w:r>
        <w:t xml:space="preserve"> LC IF channels {39, 55};</w:t>
      </w:r>
    </w:p>
    <w:p w14:paraId="0C72F449" w14:textId="402E73DC" w:rsidR="002F4228" w:rsidRPr="00CD059B" w:rsidRDefault="00391BA2" w:rsidP="002F4228">
      <w:pPr>
        <w:pStyle w:val="IEEEStdsParagraph"/>
        <w:numPr>
          <w:ilvl w:val="0"/>
          <w:numId w:val="3"/>
        </w:numPr>
        <w:rPr>
          <w:rFonts w:cs="Arial"/>
          <w:sz w:val="28"/>
        </w:rPr>
      </w:pPr>
      <w:proofErr w:type="gramStart"/>
      <w:r>
        <w:t>the</w:t>
      </w:r>
      <w:proofErr w:type="gramEnd"/>
      <w:r>
        <w:t xml:space="preserve"> 160 MHz </w:t>
      </w:r>
      <w:r w:rsidRPr="00237A02">
        <w:t xml:space="preserve">channel </w:t>
      </w:r>
      <w:r>
        <w:t>{15} in the 6 GHz band shall be mapped to the center frequencies of the LC IF channel {47}.</w:t>
      </w:r>
    </w:p>
    <w:p w14:paraId="511F8847" w14:textId="140C899A" w:rsidR="00CD059B" w:rsidRPr="002F4228" w:rsidRDefault="00CD059B" w:rsidP="00CD059B">
      <w:pPr>
        <w:pStyle w:val="IEEEStdsParagraph"/>
        <w:ind w:left="360"/>
        <w:rPr>
          <w:rFonts w:cs="Arial"/>
          <w:sz w:val="28"/>
        </w:rPr>
      </w:pPr>
      <w:r>
        <w:t>The above rules are shown in Figure 32-3 (Channel mapping from LC IF to 5 GHz and 6 GHz RF)</w:t>
      </w:r>
    </w:p>
    <w:p w14:paraId="34FA3BAC" w14:textId="61BD29F5" w:rsidR="003A1039" w:rsidRDefault="002F4228" w:rsidP="00391BA2">
      <w:pPr>
        <w:rPr>
          <w:sz w:val="20"/>
          <w:lang w:val="en-US"/>
        </w:rPr>
      </w:pPr>
      <w:r w:rsidRPr="002F4228">
        <w:rPr>
          <w:noProof/>
          <w:sz w:val="20"/>
          <w:lang w:val="de-DE" w:eastAsia="de-DE"/>
        </w:rPr>
        <w:lastRenderedPageBreak/>
        <w:drawing>
          <wp:inline distT="0" distB="0" distL="0" distR="0" wp14:anchorId="4A904258" wp14:editId="7F9A29F0">
            <wp:extent cx="5943600" cy="7091637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9936" w14:textId="47108D32" w:rsidR="002F4228" w:rsidRPr="0025242B" w:rsidRDefault="002F4228" w:rsidP="002F4228">
      <w:pPr>
        <w:pStyle w:val="Textkrper"/>
        <w:kinsoku w:val="0"/>
        <w:overflowPunct w:val="0"/>
        <w:jc w:val="center"/>
        <w:rPr>
          <w:rFonts w:ascii="Arial" w:hAnsi="Arial" w:cs="Arial"/>
          <w:b/>
          <w:sz w:val="20"/>
        </w:rPr>
      </w:pPr>
      <w:bookmarkStart w:id="1" w:name="32.3.3 LC PHY modes"/>
      <w:bookmarkStart w:id="2" w:name="32.3.3.1 Introduction"/>
      <w:bookmarkStart w:id="3" w:name="There are three LC PHY modes: LC High Th"/>
      <w:bookmarkStart w:id="4" w:name="32.3.3.2 LC High Throughput (LC HT) mode"/>
      <w:bookmarkStart w:id="5" w:name="_bookmark1"/>
      <w:bookmarkStart w:id="6" w:name="_bookmark0"/>
      <w:bookmarkEnd w:id="1"/>
      <w:bookmarkEnd w:id="2"/>
      <w:bookmarkEnd w:id="3"/>
      <w:bookmarkEnd w:id="4"/>
      <w:bookmarkEnd w:id="5"/>
      <w:bookmarkEnd w:id="6"/>
      <w:r w:rsidRPr="0025242B">
        <w:rPr>
          <w:rFonts w:ascii="Arial" w:hAnsi="Arial" w:cs="Arial"/>
          <w:b/>
          <w:sz w:val="20"/>
        </w:rPr>
        <w:t>Figure 32-</w:t>
      </w:r>
      <w:r w:rsidRPr="0025242B">
        <w:rPr>
          <w:rFonts w:ascii="Arial" w:hAnsi="Arial" w:cs="Arial"/>
          <w:b/>
          <w:sz w:val="20"/>
        </w:rPr>
        <w:t>3</w:t>
      </w:r>
      <w:r w:rsidRPr="0025242B">
        <w:rPr>
          <w:rFonts w:ascii="Arial" w:hAnsi="Arial" w:cs="Arial"/>
          <w:b/>
          <w:sz w:val="20"/>
        </w:rPr>
        <w:t>—</w:t>
      </w:r>
      <w:r w:rsidR="00CD059B" w:rsidRPr="0025242B">
        <w:rPr>
          <w:rFonts w:ascii="Arial" w:hAnsi="Arial" w:cs="Arial"/>
          <w:b/>
          <w:sz w:val="20"/>
        </w:rPr>
        <w:t>Channel</w:t>
      </w:r>
      <w:r w:rsidRPr="0025242B">
        <w:rPr>
          <w:rFonts w:ascii="Arial" w:hAnsi="Arial" w:cs="Arial"/>
          <w:b/>
          <w:sz w:val="20"/>
        </w:rPr>
        <w:t xml:space="preserve"> mapping from LC IF</w:t>
      </w:r>
      <w:r w:rsidR="00CD059B" w:rsidRPr="0025242B">
        <w:rPr>
          <w:rFonts w:ascii="Arial" w:hAnsi="Arial" w:cs="Arial"/>
          <w:b/>
          <w:sz w:val="20"/>
        </w:rPr>
        <w:t xml:space="preserve"> to 5 GHz and 6 GHz RF</w:t>
      </w:r>
    </w:p>
    <w:sectPr w:rsidR="002F4228" w:rsidRPr="0025242B" w:rsidSect="003705D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096E" w14:textId="77777777" w:rsidR="0037439B" w:rsidRDefault="0037439B">
      <w:r>
        <w:separator/>
      </w:r>
    </w:p>
  </w:endnote>
  <w:endnote w:type="continuationSeparator" w:id="0">
    <w:p w14:paraId="510AD00F" w14:textId="77777777" w:rsidR="0037439B" w:rsidRDefault="003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34E0" w14:textId="47B18BD7" w:rsidR="0029020B" w:rsidRPr="00391BA2" w:rsidRDefault="0037439B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</w:r>
    <w:proofErr w:type="spellStart"/>
    <w:r w:rsidR="0029020B" w:rsidRPr="00391BA2">
      <w:rPr>
        <w:lang w:val="de-DE"/>
      </w:rPr>
      <w:t>page</w:t>
    </w:r>
    <w:proofErr w:type="spellEnd"/>
    <w:r w:rsidR="0029020B" w:rsidRPr="00391BA2">
      <w:rPr>
        <w:lang w:val="de-DE"/>
      </w:rPr>
      <w:t xml:space="preserve">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1208FA">
      <w:rPr>
        <w:noProof/>
        <w:lang w:val="de-DE"/>
      </w:rPr>
      <w:t>3</w:t>
    </w:r>
    <w:r w:rsidR="0029020B">
      <w:fldChar w:fldCharType="end"/>
    </w:r>
    <w:r w:rsidR="0029020B" w:rsidRPr="00391BA2">
      <w:rPr>
        <w:lang w:val="de-DE"/>
      </w:rPr>
      <w:tab/>
    </w:r>
    <w:r w:rsidR="00391BA2" w:rsidRPr="00391BA2">
      <w:rPr>
        <w:lang w:val="de-DE"/>
      </w:rPr>
      <w:t>Volker Jungnickel, Fraunhofer HHI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1A8C" w14:textId="77777777" w:rsidR="0037439B" w:rsidRDefault="0037439B">
      <w:r>
        <w:separator/>
      </w:r>
    </w:p>
  </w:footnote>
  <w:footnote w:type="continuationSeparator" w:id="0">
    <w:p w14:paraId="0AF4C71F" w14:textId="77777777" w:rsidR="0037439B" w:rsidRDefault="0037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C941" w14:textId="7E26976A" w:rsidR="0029020B" w:rsidRDefault="0037439B" w:rsidP="004B5125">
    <w:pPr>
      <w:pStyle w:val="Kopfzeile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91BA2">
      <w:t>Jul</w:t>
    </w:r>
    <w:r w:rsidR="00166827">
      <w:t>y 2022</w:t>
    </w:r>
    <w:r>
      <w:fldChar w:fldCharType="end"/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544BBE">
      <w:t>doc.: IEEE 802.11-22/</w:t>
    </w:r>
    <w:r w:rsidR="00391BA2">
      <w:t>1087</w:t>
    </w:r>
    <w:r w:rsidR="00544BBE">
      <w:t>r</w:t>
    </w:r>
    <w:r>
      <w:fldChar w:fldCharType="end"/>
    </w:r>
    <w:r w:rsidR="007418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mirrorMargins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08FA"/>
    <w:rsid w:val="00121E9C"/>
    <w:rsid w:val="00166827"/>
    <w:rsid w:val="00195B23"/>
    <w:rsid w:val="001C55B7"/>
    <w:rsid w:val="001D723B"/>
    <w:rsid w:val="001F0E9A"/>
    <w:rsid w:val="00200688"/>
    <w:rsid w:val="002045D2"/>
    <w:rsid w:val="0025242B"/>
    <w:rsid w:val="002675AA"/>
    <w:rsid w:val="0029020B"/>
    <w:rsid w:val="002D0666"/>
    <w:rsid w:val="002D0C1C"/>
    <w:rsid w:val="002D44BE"/>
    <w:rsid w:val="002D458D"/>
    <w:rsid w:val="002F4228"/>
    <w:rsid w:val="00314A0A"/>
    <w:rsid w:val="0032466E"/>
    <w:rsid w:val="00331944"/>
    <w:rsid w:val="003373B6"/>
    <w:rsid w:val="00361969"/>
    <w:rsid w:val="003705DC"/>
    <w:rsid w:val="0037439B"/>
    <w:rsid w:val="00391BA2"/>
    <w:rsid w:val="00397273"/>
    <w:rsid w:val="003A1039"/>
    <w:rsid w:val="003B7BF2"/>
    <w:rsid w:val="004044EE"/>
    <w:rsid w:val="00406520"/>
    <w:rsid w:val="004253B3"/>
    <w:rsid w:val="004341EE"/>
    <w:rsid w:val="0043447A"/>
    <w:rsid w:val="00442037"/>
    <w:rsid w:val="00447210"/>
    <w:rsid w:val="004525CA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80E33"/>
    <w:rsid w:val="00684CD9"/>
    <w:rsid w:val="00695D96"/>
    <w:rsid w:val="006C0727"/>
    <w:rsid w:val="006E1372"/>
    <w:rsid w:val="006E145F"/>
    <w:rsid w:val="006F6496"/>
    <w:rsid w:val="007072A8"/>
    <w:rsid w:val="00741898"/>
    <w:rsid w:val="00744AE0"/>
    <w:rsid w:val="0075078C"/>
    <w:rsid w:val="007650D8"/>
    <w:rsid w:val="00770572"/>
    <w:rsid w:val="00780E88"/>
    <w:rsid w:val="00790EEC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43759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3772"/>
    <w:rsid w:val="00BE68C2"/>
    <w:rsid w:val="00BF780A"/>
    <w:rsid w:val="00C05C16"/>
    <w:rsid w:val="00C06F36"/>
    <w:rsid w:val="00C1779A"/>
    <w:rsid w:val="00C322AD"/>
    <w:rsid w:val="00C524AE"/>
    <w:rsid w:val="00C52516"/>
    <w:rsid w:val="00C86AD9"/>
    <w:rsid w:val="00CA09B2"/>
    <w:rsid w:val="00CC48E6"/>
    <w:rsid w:val="00CD059B"/>
    <w:rsid w:val="00CE530B"/>
    <w:rsid w:val="00D1290D"/>
    <w:rsid w:val="00D60EA7"/>
    <w:rsid w:val="00D61D45"/>
    <w:rsid w:val="00D6226D"/>
    <w:rsid w:val="00D85DCD"/>
    <w:rsid w:val="00DA35E7"/>
    <w:rsid w:val="00DC5A7B"/>
    <w:rsid w:val="00DD3470"/>
    <w:rsid w:val="00E4062D"/>
    <w:rsid w:val="00E60140"/>
    <w:rsid w:val="00EE7A96"/>
    <w:rsid w:val="00F00CE8"/>
    <w:rsid w:val="00F74D50"/>
    <w:rsid w:val="00F9011D"/>
    <w:rsid w:val="00FD29E9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D50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4BE7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  <w:style w:type="character" w:styleId="Zeilennummer">
    <w:name w:val="line number"/>
    <w:basedOn w:val="Absatz-Standardschriftart"/>
    <w:rsid w:val="003705DC"/>
  </w:style>
  <w:style w:type="paragraph" w:styleId="Textkrper">
    <w:name w:val="Body Text"/>
    <w:basedOn w:val="Standard"/>
    <w:link w:val="TextkrperZchn"/>
    <w:rsid w:val="002F42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F4228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397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802.11-22/0788r0</vt:lpstr>
      <vt:lpstr>doc.: IEEE 802.11-21/0xxxr0</vt:lpstr>
    </vt:vector>
  </TitlesOfParts>
  <Company>Some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Jungnickel, Volker</cp:lastModifiedBy>
  <cp:revision>9</cp:revision>
  <cp:lastPrinted>1899-12-31T23:00:00Z</cp:lastPrinted>
  <dcterms:created xsi:type="dcterms:W3CDTF">2022-07-12T15:34:00Z</dcterms:created>
  <dcterms:modified xsi:type="dcterms:W3CDTF">2022-07-13T08:54:00Z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