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A64C7CC" w:rsidR="00A353D7" w:rsidRPr="00CC2C3C" w:rsidRDefault="00CD1DAC" w:rsidP="009560AA">
            <w:pPr>
              <w:pStyle w:val="T2"/>
              <w:suppressAutoHyphens/>
              <w:spacing w:before="120" w:after="120"/>
              <w:ind w:left="0"/>
              <w:rPr>
                <w:b w:val="0"/>
              </w:rPr>
            </w:pPr>
            <w:r>
              <w:rPr>
                <w:b w:val="0"/>
              </w:rPr>
              <w:t xml:space="preserve">LB266 </w:t>
            </w:r>
            <w:r w:rsidR="00671D98">
              <w:rPr>
                <w:b w:val="0"/>
              </w:rPr>
              <w:t xml:space="preserve">CR for 35.13 Intra PPDU Power </w:t>
            </w:r>
            <w:r w:rsidR="00671D98" w:rsidRPr="00671D98">
              <w:rPr>
                <w:b w:val="0"/>
              </w:rPr>
              <w:t>Save</w:t>
            </w:r>
          </w:p>
        </w:tc>
      </w:tr>
      <w:tr w:rsidR="00A353D7" w:rsidRPr="00CC2C3C" w14:paraId="5101EAE9" w14:textId="77777777" w:rsidTr="007836FF">
        <w:trPr>
          <w:trHeight w:val="269"/>
          <w:jc w:val="center"/>
        </w:trPr>
        <w:tc>
          <w:tcPr>
            <w:tcW w:w="9576" w:type="dxa"/>
            <w:gridSpan w:val="5"/>
            <w:vAlign w:val="center"/>
          </w:tcPr>
          <w:p w14:paraId="3704DF93" w14:textId="26C9686C" w:rsidR="00A353D7" w:rsidRPr="00CC2C3C" w:rsidRDefault="00CA0CDA" w:rsidP="00255E9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60AA">
              <w:rPr>
                <w:b w:val="0"/>
                <w:sz w:val="20"/>
              </w:rPr>
              <w:t>July</w:t>
            </w:r>
            <w:r w:rsidR="00E2136A" w:rsidRPr="00E2136A">
              <w:rPr>
                <w:b w:val="0"/>
                <w:sz w:val="20"/>
              </w:rPr>
              <w:t xml:space="preserve"> </w:t>
            </w:r>
            <w:r w:rsidR="00255E91">
              <w:rPr>
                <w:b w:val="0"/>
                <w:sz w:val="20"/>
              </w:rPr>
              <w:t>11</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0D95B33"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1</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CD1DAC">
        <w:rPr>
          <w:rFonts w:cs="Times New Roman"/>
          <w:sz w:val="18"/>
          <w:szCs w:val="18"/>
          <w:lang w:eastAsia="ko-KR"/>
        </w:rPr>
        <w:t>be</w:t>
      </w:r>
      <w:proofErr w:type="spellEnd"/>
      <w:r w:rsidR="00CD1DAC">
        <w:rPr>
          <w:rFonts w:cs="Times New Roman"/>
          <w:sz w:val="18"/>
          <w:szCs w:val="18"/>
          <w:lang w:eastAsia="ko-KR"/>
        </w:rPr>
        <w:t xml:space="preserve"> LB266</w:t>
      </w:r>
      <w:r w:rsidRPr="00C65641">
        <w:rPr>
          <w:rFonts w:cs="Times New Roman"/>
          <w:sz w:val="18"/>
          <w:szCs w:val="18"/>
          <w:lang w:eastAsia="ko-KR"/>
        </w:rPr>
        <w:t>:</w:t>
      </w:r>
    </w:p>
    <w:bookmarkEnd w:id="0"/>
    <w:p w14:paraId="63A5801B" w14:textId="26D85E3C" w:rsidR="00EF03E1" w:rsidRDefault="00671D98" w:rsidP="00671D9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13042</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B3E70F1" w14:textId="38736DD0" w:rsidR="00EA621F" w:rsidRDefault="00095124"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sidRPr="00A023CE">
        <w:rPr>
          <w:rFonts w:ascii="Times New Roman" w:eastAsia="Malgun Gothic" w:hAnsi="Times New Roman" w:cs="Times New Roman"/>
          <w:sz w:val="18"/>
          <w:szCs w:val="20"/>
          <w:lang w:val="en-GB"/>
        </w:rPr>
        <w:t xml:space="preserve">: </w:t>
      </w:r>
      <w:r w:rsidRPr="00095124">
        <w:rPr>
          <w:rFonts w:ascii="Times New Roman" w:eastAsia="Malgun Gothic" w:hAnsi="Times New Roman" w:cs="Times New Roman" w:hint="eastAsia"/>
          <w:sz w:val="18"/>
          <w:szCs w:val="20"/>
          <w:lang w:val="en-GB"/>
        </w:rPr>
        <w:t>editorial</w:t>
      </w:r>
      <w:r>
        <w:rPr>
          <w:rFonts w:ascii="Times New Roman" w:eastAsia="Malgun Gothic" w:hAnsi="Times New Roman" w:cs="Times New Roman"/>
          <w:sz w:val="18"/>
          <w:szCs w:val="20"/>
          <w:lang w:val="en-GB"/>
        </w:rPr>
        <w:t xml:space="preserve"> changes on the Resolution column</w:t>
      </w:r>
      <w:r w:rsidRPr="00A023CE">
        <w:rPr>
          <w:rFonts w:ascii="Times New Roman" w:eastAsia="Malgun Gothic" w:hAnsi="Times New Roman" w:cs="Times New Roman"/>
          <w:sz w:val="18"/>
          <w:szCs w:val="20"/>
          <w:lang w:val="en-GB"/>
        </w:rPr>
        <w:t>.</w:t>
      </w:r>
    </w:p>
    <w:p w14:paraId="583FF4AF" w14:textId="3FECC9A0" w:rsidR="007D037F" w:rsidRDefault="007D037F" w:rsidP="007D037F">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2</w:t>
      </w:r>
      <w:r w:rsidRPr="00A023CE">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Change the resolution based on the discussions during the CC and the discussions in email reflector</w:t>
      </w:r>
      <w:r w:rsidRPr="00A023CE">
        <w:rPr>
          <w:rFonts w:ascii="Times New Roman" w:eastAsia="Malgun Gothic" w:hAnsi="Times New Roman" w:cs="Times New Roman"/>
          <w:sz w:val="18"/>
          <w:szCs w:val="20"/>
          <w:lang w:val="en-GB"/>
        </w:rPr>
        <w:t>.</w:t>
      </w:r>
    </w:p>
    <w:p w14:paraId="2F793701" w14:textId="77777777" w:rsidR="007D037F" w:rsidRDefault="007D037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671D98" w:rsidRPr="00BF3A3F" w14:paraId="14308E74" w14:textId="77777777" w:rsidTr="007272D2">
        <w:trPr>
          <w:trHeight w:val="1878"/>
        </w:trPr>
        <w:tc>
          <w:tcPr>
            <w:tcW w:w="662" w:type="dxa"/>
            <w:shd w:val="clear" w:color="auto" w:fill="auto"/>
            <w:hideMark/>
          </w:tcPr>
          <w:p w14:paraId="5A015A58" w14:textId="789799B2" w:rsidR="00671D98" w:rsidRPr="00CC6EC1" w:rsidRDefault="00671D98" w:rsidP="00671D98">
            <w:pPr>
              <w:spacing w:after="0" w:line="240" w:lineRule="auto"/>
              <w:rPr>
                <w:rFonts w:ascii="Arial" w:hAnsi="Arial" w:cs="Arial"/>
                <w:sz w:val="18"/>
                <w:szCs w:val="18"/>
              </w:rPr>
            </w:pPr>
            <w:r w:rsidRPr="00671D98">
              <w:rPr>
                <w:rFonts w:ascii="Arial" w:hAnsi="Arial" w:cs="Arial"/>
                <w:sz w:val="18"/>
                <w:szCs w:val="18"/>
              </w:rPr>
              <w:t>13042</w:t>
            </w:r>
          </w:p>
        </w:tc>
        <w:tc>
          <w:tcPr>
            <w:tcW w:w="1039" w:type="dxa"/>
            <w:shd w:val="clear" w:color="auto" w:fill="auto"/>
            <w:hideMark/>
          </w:tcPr>
          <w:p w14:paraId="00F3CF25" w14:textId="1A16A1B2" w:rsidR="00671D98" w:rsidRPr="00CC6EC1" w:rsidRDefault="00671D98" w:rsidP="00671D98">
            <w:pPr>
              <w:spacing w:after="0" w:line="240" w:lineRule="auto"/>
              <w:rPr>
                <w:rFonts w:ascii="Arial" w:hAnsi="Arial" w:cs="Arial"/>
                <w:sz w:val="18"/>
                <w:szCs w:val="18"/>
              </w:rPr>
            </w:pPr>
            <w:r w:rsidRPr="00671D98">
              <w:rPr>
                <w:rFonts w:ascii="Arial" w:hAnsi="Arial" w:cs="Arial"/>
                <w:sz w:val="18"/>
                <w:szCs w:val="18"/>
              </w:rPr>
              <w:t>Chunyu Hu</w:t>
            </w:r>
          </w:p>
        </w:tc>
        <w:tc>
          <w:tcPr>
            <w:tcW w:w="709" w:type="dxa"/>
            <w:shd w:val="clear" w:color="auto" w:fill="auto"/>
            <w:hideMark/>
          </w:tcPr>
          <w:p w14:paraId="245E6FF9" w14:textId="6AD3F029" w:rsidR="00671D98" w:rsidRPr="00671D98" w:rsidRDefault="00671D98" w:rsidP="00671D98">
            <w:pPr>
              <w:rPr>
                <w:rFonts w:ascii="Arial" w:hAnsi="Arial" w:cs="Arial"/>
                <w:sz w:val="18"/>
                <w:szCs w:val="18"/>
              </w:rPr>
            </w:pPr>
            <w:r w:rsidRPr="00671D98">
              <w:rPr>
                <w:rFonts w:ascii="Arial" w:hAnsi="Arial" w:cs="Arial"/>
                <w:sz w:val="18"/>
                <w:szCs w:val="18"/>
              </w:rPr>
              <w:t>520.36</w:t>
            </w:r>
          </w:p>
        </w:tc>
        <w:tc>
          <w:tcPr>
            <w:tcW w:w="851" w:type="dxa"/>
            <w:shd w:val="clear" w:color="auto" w:fill="auto"/>
            <w:hideMark/>
          </w:tcPr>
          <w:p w14:paraId="55FA5968" w14:textId="5E8DB25F" w:rsidR="00671D98" w:rsidRPr="00CC6EC1" w:rsidRDefault="00671D98" w:rsidP="00671D98">
            <w:pPr>
              <w:spacing w:after="0" w:line="240" w:lineRule="auto"/>
              <w:rPr>
                <w:rFonts w:ascii="Arial" w:hAnsi="Arial" w:cs="Arial"/>
                <w:sz w:val="18"/>
                <w:szCs w:val="18"/>
              </w:rPr>
            </w:pPr>
            <w:r w:rsidRPr="00671D98">
              <w:rPr>
                <w:rFonts w:ascii="Arial" w:hAnsi="Arial" w:cs="Arial"/>
                <w:sz w:val="18"/>
                <w:szCs w:val="18"/>
              </w:rPr>
              <w:t>35.13</w:t>
            </w:r>
          </w:p>
        </w:tc>
        <w:tc>
          <w:tcPr>
            <w:tcW w:w="1984" w:type="dxa"/>
            <w:shd w:val="clear" w:color="auto" w:fill="auto"/>
            <w:hideMark/>
          </w:tcPr>
          <w:p w14:paraId="0044C7BC" w14:textId="241F0E12" w:rsidR="00671D98" w:rsidRPr="00CC6EC1" w:rsidRDefault="00671D98" w:rsidP="00671D98">
            <w:pPr>
              <w:spacing w:after="0" w:line="240" w:lineRule="auto"/>
              <w:rPr>
                <w:rFonts w:ascii="Arial" w:hAnsi="Arial" w:cs="Arial"/>
                <w:sz w:val="18"/>
                <w:szCs w:val="18"/>
              </w:rPr>
            </w:pPr>
            <w:r w:rsidRPr="00671D98">
              <w:rPr>
                <w:rFonts w:ascii="Arial" w:hAnsi="Arial" w:cs="Arial"/>
                <w:sz w:val="18"/>
                <w:szCs w:val="18"/>
              </w:rPr>
              <w:t>Since EHT MU PPDU covers both SU and MU PPDU in EHT, should the conditions that apply to an HE MU PPDU be extended to cover HE SU PPDU as well?</w:t>
            </w:r>
          </w:p>
        </w:tc>
        <w:tc>
          <w:tcPr>
            <w:tcW w:w="1843" w:type="dxa"/>
            <w:shd w:val="clear" w:color="auto" w:fill="auto"/>
            <w:hideMark/>
          </w:tcPr>
          <w:p w14:paraId="69AF241A" w14:textId="59E334F3" w:rsidR="00671D98" w:rsidRPr="00CC6EC1" w:rsidRDefault="00671D98" w:rsidP="00671D98">
            <w:pPr>
              <w:spacing w:after="240" w:line="240" w:lineRule="auto"/>
              <w:rPr>
                <w:rFonts w:ascii="Arial" w:hAnsi="Arial" w:cs="Arial"/>
                <w:sz w:val="18"/>
                <w:szCs w:val="18"/>
              </w:rPr>
            </w:pPr>
            <w:r w:rsidRPr="00671D98">
              <w:rPr>
                <w:rFonts w:ascii="Arial" w:hAnsi="Arial" w:cs="Arial"/>
                <w:sz w:val="18"/>
                <w:szCs w:val="18"/>
              </w:rPr>
              <w:t>Insert "HE SU PPDU" before "HE MU PPDU" in the first bullet.</w:t>
            </w:r>
          </w:p>
        </w:tc>
        <w:tc>
          <w:tcPr>
            <w:tcW w:w="2219" w:type="dxa"/>
            <w:shd w:val="clear" w:color="auto" w:fill="auto"/>
            <w:hideMark/>
          </w:tcPr>
          <w:p w14:paraId="7FB5A1D7" w14:textId="78316568" w:rsidR="00671D98" w:rsidRPr="00CC6EC1" w:rsidRDefault="007D037F" w:rsidP="007D037F">
            <w:pPr>
              <w:spacing w:after="0" w:line="240" w:lineRule="auto"/>
              <w:rPr>
                <w:rFonts w:ascii="Arial" w:hAnsi="Arial" w:cs="Arial"/>
                <w:sz w:val="18"/>
                <w:szCs w:val="18"/>
              </w:rPr>
            </w:pPr>
            <w:r>
              <w:rPr>
                <w:rFonts w:ascii="Arial" w:hAnsi="Arial" w:cs="Arial"/>
                <w:sz w:val="18"/>
                <w:szCs w:val="18"/>
              </w:rPr>
              <w:t>Rejected</w:t>
            </w:r>
            <w:r w:rsidR="00671D98" w:rsidRPr="009560AA">
              <w:rPr>
                <w:rFonts w:ascii="Arial" w:hAnsi="Arial" w:cs="Arial"/>
                <w:sz w:val="18"/>
                <w:szCs w:val="18"/>
              </w:rPr>
              <w:t>-</w:t>
            </w:r>
            <w:r w:rsidR="00671D98" w:rsidRPr="009560AA">
              <w:rPr>
                <w:rFonts w:ascii="Arial" w:hAnsi="Arial" w:cs="Arial"/>
                <w:sz w:val="18"/>
                <w:szCs w:val="18"/>
              </w:rPr>
              <w:br/>
            </w:r>
            <w:r w:rsidR="00671D98" w:rsidRPr="009560AA">
              <w:rPr>
                <w:rFonts w:ascii="Arial" w:hAnsi="Arial" w:cs="Arial"/>
                <w:sz w:val="18"/>
                <w:szCs w:val="18"/>
              </w:rPr>
              <w:br/>
            </w:r>
            <w:r>
              <w:rPr>
                <w:rFonts w:ascii="Arial" w:hAnsi="Arial" w:cs="Arial"/>
                <w:sz w:val="18"/>
                <w:szCs w:val="18"/>
              </w:rPr>
              <w:t xml:space="preserve">In the cases other than sounding PPDU, since </w:t>
            </w:r>
            <w:r w:rsidRPr="007D037F">
              <w:rPr>
                <w:rFonts w:ascii="Arial" w:hAnsi="Arial" w:cs="Arial"/>
                <w:sz w:val="18"/>
                <w:szCs w:val="18"/>
              </w:rPr>
              <w:t>both EHT MU PPDU and HE MU PPDU have the parameter of STA_ID, we should use the conditions of HE MU PPDU for EHT MU PPDU</w:t>
            </w:r>
            <w:r>
              <w:rPr>
                <w:rFonts w:ascii="Arial" w:hAnsi="Arial" w:cs="Arial"/>
                <w:sz w:val="18"/>
                <w:szCs w:val="18"/>
              </w:rPr>
              <w:t>. In the case of sounding PPDU, the current text allows UL EHT sounding PPDU to b</w:t>
            </w:r>
            <w:bookmarkStart w:id="1" w:name="_GoBack"/>
            <w:bookmarkEnd w:id="1"/>
            <w:r>
              <w:rPr>
                <w:rFonts w:ascii="Arial" w:hAnsi="Arial" w:cs="Arial"/>
                <w:sz w:val="18"/>
                <w:szCs w:val="18"/>
              </w:rPr>
              <w:t>e used for intra-PPDU power save, which aligns with 11ax.</w:t>
            </w:r>
          </w:p>
          <w:p w14:paraId="0B7D8E79" w14:textId="77777777" w:rsidR="00671D98" w:rsidRPr="00CC6EC1" w:rsidRDefault="00671D98" w:rsidP="00671D98">
            <w:pPr>
              <w:spacing w:after="0" w:line="240" w:lineRule="auto"/>
              <w:rPr>
                <w:rFonts w:ascii="Arial" w:hAnsi="Arial" w:cs="Arial"/>
                <w:sz w:val="18"/>
                <w:szCs w:val="18"/>
              </w:rPr>
            </w:pPr>
          </w:p>
          <w:p w14:paraId="7F08EB1C" w14:textId="3589ABBE" w:rsidR="00671D98" w:rsidRPr="009560AA" w:rsidRDefault="00671D98" w:rsidP="00671D98">
            <w:pPr>
              <w:spacing w:after="0" w:line="240" w:lineRule="auto"/>
              <w:rPr>
                <w:rFonts w:ascii="Arial" w:hAnsi="Arial" w:cs="Arial"/>
                <w:sz w:val="18"/>
                <w:szCs w:val="18"/>
              </w:rPr>
            </w:pPr>
          </w:p>
        </w:tc>
      </w:tr>
    </w:tbl>
    <w:p w14:paraId="767E8A05" w14:textId="4069E07E" w:rsidR="008E7885" w:rsidRDefault="008E7885" w:rsidP="00C43630">
      <w:pPr>
        <w:jc w:val="both"/>
        <w:rPr>
          <w:rFonts w:ascii="Times New Roman" w:hAnsi="Times New Roman" w:cs="Times New Roman"/>
          <w:sz w:val="20"/>
          <w:szCs w:val="20"/>
        </w:rPr>
      </w:pPr>
    </w:p>
    <w:p w14:paraId="5FF12D9D" w14:textId="399C2023" w:rsidR="00C9323F" w:rsidRPr="007D037F" w:rsidRDefault="00C9323F" w:rsidP="007D037F">
      <w:pPr>
        <w:jc w:val="both"/>
        <w:rPr>
          <w:rFonts w:ascii="Times New Roman" w:hAnsi="Times New Roman" w:cs="Times New Roman"/>
          <w:sz w:val="20"/>
          <w:szCs w:val="20"/>
        </w:rPr>
      </w:pPr>
    </w:p>
    <w:sectPr w:rsidR="00C9323F" w:rsidRPr="007D037F"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A7613" w14:textId="77777777" w:rsidR="003334E3" w:rsidRDefault="003334E3">
      <w:pPr>
        <w:spacing w:after="0" w:line="240" w:lineRule="auto"/>
      </w:pPr>
      <w:r>
        <w:separator/>
      </w:r>
    </w:p>
  </w:endnote>
  <w:endnote w:type="continuationSeparator" w:id="0">
    <w:p w14:paraId="67DD1216" w14:textId="77777777" w:rsidR="003334E3" w:rsidRDefault="003334E3">
      <w:pPr>
        <w:spacing w:after="0" w:line="240" w:lineRule="auto"/>
      </w:pPr>
      <w:r>
        <w:continuationSeparator/>
      </w:r>
    </w:p>
  </w:endnote>
  <w:endnote w:type="continuationNotice" w:id="1">
    <w:p w14:paraId="0AFCFB29" w14:textId="77777777" w:rsidR="003334E3" w:rsidRDefault="00333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C73750" w:rsidRPr="00CB5571" w:rsidRDefault="00C7375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C73750" w:rsidRPr="00CB5571" w:rsidRDefault="00C7375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7D037F">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0563D" w14:textId="77777777" w:rsidR="003334E3" w:rsidRDefault="003334E3">
      <w:pPr>
        <w:spacing w:after="0" w:line="240" w:lineRule="auto"/>
      </w:pPr>
      <w:r>
        <w:separator/>
      </w:r>
    </w:p>
  </w:footnote>
  <w:footnote w:type="continuationSeparator" w:id="0">
    <w:p w14:paraId="44DD4055" w14:textId="77777777" w:rsidR="003334E3" w:rsidRDefault="003334E3">
      <w:pPr>
        <w:spacing w:after="0" w:line="240" w:lineRule="auto"/>
      </w:pPr>
      <w:r>
        <w:continuationSeparator/>
      </w:r>
    </w:p>
  </w:footnote>
  <w:footnote w:type="continuationNotice" w:id="1">
    <w:p w14:paraId="68677142" w14:textId="77777777" w:rsidR="003334E3" w:rsidRDefault="003334E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C73750" w:rsidRPr="002D636E" w:rsidRDefault="00C7375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5BEA696" w:rsidR="00C73750" w:rsidRPr="00DE6B44" w:rsidRDefault="00C7375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sidR="00671D98">
      <w:rPr>
        <w:rFonts w:ascii="Times New Roman" w:eastAsia="Malgun Gothic" w:hAnsi="Times New Roman" w:cs="Times New Roman"/>
        <w:b/>
        <w:sz w:val="28"/>
        <w:szCs w:val="20"/>
        <w:lang w:val="en-GB"/>
      </w:rPr>
      <w:t>22/</w:t>
    </w:r>
    <w:r w:rsidR="00497792">
      <w:rPr>
        <w:rFonts w:ascii="Times New Roman" w:eastAsia="Malgun Gothic" w:hAnsi="Times New Roman" w:cs="Times New Roman"/>
        <w:b/>
        <w:sz w:val="28"/>
        <w:szCs w:val="20"/>
        <w:lang w:val="en-GB"/>
      </w:rPr>
      <w:t>1073</w:t>
    </w:r>
    <w:r>
      <w:rPr>
        <w:rFonts w:ascii="Times New Roman" w:eastAsia="Malgun Gothic" w:hAnsi="Times New Roman" w:cs="Times New Roman"/>
        <w:b/>
        <w:sz w:val="28"/>
        <w:szCs w:val="20"/>
        <w:lang w:val="en-GB"/>
      </w:rPr>
      <w:t>r</w:t>
    </w:r>
    <w:r w:rsidR="007D037F">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4F78"/>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4E3"/>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37F"/>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25AF"/>
    <w:rsid w:val="0081267F"/>
    <w:rsid w:val="00812D6C"/>
    <w:rsid w:val="0081392E"/>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DA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77F"/>
    <w:rsid w:val="00CE4BD5"/>
    <w:rsid w:val="00CE528D"/>
    <w:rsid w:val="00CE55F4"/>
    <w:rsid w:val="00CE5E19"/>
    <w:rsid w:val="00CE639E"/>
    <w:rsid w:val="00CE643B"/>
    <w:rsid w:val="00CE6491"/>
    <w:rsid w:val="00CE6CD4"/>
    <w:rsid w:val="00CE749A"/>
    <w:rsid w:val="00CE7823"/>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035"/>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6496573-B1B7-4630-BBE1-FE089185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2022-08-29T02:22:00Z</dcterms:created>
  <dcterms:modified xsi:type="dcterms:W3CDTF">2022-08-29T02:33:00Z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(3)OU4q3EFkXmOhMobE4n6viDEpayBQdCKW1uh5QRHUSjhdvRoyXg36XBCtMVc5jFuej/VQZKQu
bbThFl1SMYEfnNCOhzhI2CwqgBBYu56UYq8Dts87lQpFGr61xOeCZk7CxEiIj08ztcbAAjX2
Z9+qkg0QOSYRAmseoWiQhTYECcnqiLksZzueGHgzNpCaRjYvAauCUB14O2M6Kb8zNXv3bSHz
Ye7w0pa++oKWVYw43D</vt:lpwstr>
  </property>
  <property fmtid="{D5CDD505-2E9C-101B-9397-08002B2CF9AE}" pid="6" name="_2015_ms_pID_7253431">
    <vt:lpwstr>iu7Kmyo/w0atL98K1KO3GzTGRZgSofBeE3Ofqavr/Im93joeo3ToFw
N1H1hyxx1jsgX/4PMoRn8IG/8CZu2Ly3ZaxF8NwthxdI8jkQWcLgwcW7Stk2XmJCpEDl22DU
DsgqkbBaH+3ak97vfoAdFCe44d5NjDuw5TQ9an45xBiMUpPs0GOCM/zsSkNdPU1D2fVNqmcg
AlhK6OOo6dEbullWHsmpowZo6mi1CHOpcAbC</vt:lpwstr>
  </property>
  <property fmtid="{D5CDD505-2E9C-101B-9397-08002B2CF9AE}" pid="7" name="_2015_ms_pID_7253432">
    <vt:lpwstr>waOalrtYLWH8ArVhGjqXwkI=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1661739671</vt:lpwstr>
  </property>
</Properties>
</file>