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3E44D" w14:textId="77777777" w:rsidR="00DF55B6" w:rsidRDefault="004C4BC9" w:rsidP="00DF55B6">
      <w:pPr>
        <w:pStyle w:val="T1"/>
        <w:pBdr>
          <w:bottom w:val="single" w:sz="6" w:space="0" w:color="auto"/>
        </w:pBdr>
        <w:suppressAutoHyphens/>
        <w:spacing w:after="240"/>
        <w:rPr>
          <w:color w:val="000000" w:themeColor="text1"/>
        </w:rPr>
      </w:pPr>
      <w:r w:rsidRPr="008D120D">
        <w:rPr>
          <w:color w:val="000000" w:themeColor="text1"/>
        </w:rPr>
        <w:t>IEEE P802.11</w:t>
      </w:r>
    </w:p>
    <w:p w14:paraId="071B875F" w14:textId="36683B33" w:rsidR="004C4BC9" w:rsidRPr="008D120D" w:rsidRDefault="004C4BC9" w:rsidP="00DF55B6">
      <w:pPr>
        <w:pStyle w:val="T1"/>
        <w:pBdr>
          <w:bottom w:val="single" w:sz="6" w:space="0" w:color="auto"/>
        </w:pBdr>
        <w:suppressAutoHyphens/>
        <w:spacing w:after="240"/>
        <w:rPr>
          <w:color w:val="000000" w:themeColor="text1"/>
        </w:rPr>
      </w:pPr>
      <w:r w:rsidRPr="008D120D">
        <w:rPr>
          <w:color w:val="000000" w:themeColor="text1"/>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2037E6BF" w:rsidR="00A353D7" w:rsidRPr="008D120D" w:rsidRDefault="00C62602" w:rsidP="00795E36">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1534E5">
              <w:rPr>
                <w:b w:val="0"/>
                <w:color w:val="000000" w:themeColor="text1"/>
              </w:rPr>
              <w:t>CID</w:t>
            </w:r>
            <w:r w:rsidR="003458C3" w:rsidRPr="008D120D">
              <w:rPr>
                <w:b w:val="0"/>
                <w:color w:val="000000" w:themeColor="text1"/>
              </w:rPr>
              <w:t xml:space="preserve"> </w:t>
            </w:r>
            <w:r w:rsidR="00795E36">
              <w:rPr>
                <w:b w:val="0"/>
                <w:color w:val="000000" w:themeColor="text1"/>
              </w:rPr>
              <w:t xml:space="preserve">1233 </w:t>
            </w:r>
            <w:r w:rsidR="003D7307">
              <w:rPr>
                <w:b w:val="0"/>
                <w:color w:val="000000" w:themeColor="text1"/>
              </w:rPr>
              <w:t>in clause</w:t>
            </w:r>
            <w:r w:rsidR="003458C3" w:rsidRPr="008D120D">
              <w:rPr>
                <w:b w:val="0"/>
                <w:color w:val="000000" w:themeColor="text1"/>
              </w:rPr>
              <w:t xml:space="preserve"> </w:t>
            </w:r>
            <w:r w:rsidR="00795E36">
              <w:rPr>
                <w:b w:val="0"/>
                <w:color w:val="000000" w:themeColor="text1"/>
              </w:rPr>
              <w:t>10.2.6</w:t>
            </w:r>
            <w:r w:rsidR="00C0515A" w:rsidRPr="008D120D">
              <w:rPr>
                <w:b w:val="0"/>
                <w:color w:val="000000" w:themeColor="text1"/>
              </w:rPr>
              <w:t xml:space="preserve"> (CC </w:t>
            </w:r>
            <w:r w:rsidR="002D68D1">
              <w:rPr>
                <w:b w:val="0"/>
                <w:color w:val="000000" w:themeColor="text1"/>
              </w:rPr>
              <w:t>258</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01052716" w:rsidR="00A353D7" w:rsidRPr="008D120D" w:rsidRDefault="00CA0CDA" w:rsidP="003D7307">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3D7307">
              <w:rPr>
                <w:b w:val="0"/>
                <w:color w:val="000000" w:themeColor="text1"/>
                <w:sz w:val="20"/>
              </w:rPr>
              <w:t>???</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0A0536" w:rsidRPr="008D120D" w14:paraId="12851638" w14:textId="77777777" w:rsidTr="00F509D5">
        <w:trPr>
          <w:trHeight w:val="430"/>
          <w:jc w:val="center"/>
        </w:trPr>
        <w:tc>
          <w:tcPr>
            <w:tcW w:w="1705" w:type="dxa"/>
            <w:vAlign w:val="center"/>
          </w:tcPr>
          <w:p w14:paraId="7A0247C8" w14:textId="0FA8773E" w:rsidR="000A0536" w:rsidRPr="008D120D" w:rsidRDefault="000A0536"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tc>
        <w:tc>
          <w:tcPr>
            <w:tcW w:w="1695" w:type="dxa"/>
            <w:vAlign w:val="center"/>
          </w:tcPr>
          <w:p w14:paraId="4488CDC0" w14:textId="5083D873" w:rsidR="000A0536" w:rsidRPr="008D120D" w:rsidRDefault="000A0536"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0A0536" w:rsidRPr="008D120D" w:rsidRDefault="000A0536"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0A0536" w:rsidRPr="008D120D" w:rsidRDefault="000A0536"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65D0B38D" w14:textId="3A257DD4" w:rsidR="000A0536" w:rsidRPr="008D120D" w:rsidRDefault="000A0536"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76585BA9" w:rsidR="00A12104" w:rsidRPr="008D120D"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w:t>
      </w:r>
      <w:r w:rsidR="002D68D1">
        <w:rPr>
          <w:rFonts w:cs="Times New Roman"/>
          <w:color w:val="000000" w:themeColor="text1"/>
          <w:sz w:val="18"/>
          <w:szCs w:val="18"/>
          <w:lang w:eastAsia="ko-KR"/>
        </w:rPr>
        <w:t>a resolution</w:t>
      </w:r>
      <w:r w:rsidRPr="008D120D">
        <w:rPr>
          <w:rFonts w:cs="Times New Roman"/>
          <w:color w:val="000000" w:themeColor="text1"/>
          <w:sz w:val="18"/>
          <w:szCs w:val="18"/>
          <w:lang w:eastAsia="ko-KR"/>
        </w:rPr>
        <w:t xml:space="preserve"> for </w:t>
      </w:r>
      <w:r w:rsidR="002D68D1">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21044B" w:rsidRPr="008D120D">
        <w:rPr>
          <w:rFonts w:cs="Times New Roman"/>
          <w:color w:val="000000" w:themeColor="text1"/>
          <w:sz w:val="18"/>
          <w:szCs w:val="18"/>
          <w:lang w:eastAsia="ko-KR"/>
        </w:rPr>
        <w:t xml:space="preserve"> </w:t>
      </w:r>
      <w:r w:rsidR="002D68D1">
        <w:rPr>
          <w:rFonts w:cs="Times New Roman"/>
          <w:color w:val="000000" w:themeColor="text1"/>
          <w:sz w:val="18"/>
          <w:szCs w:val="18"/>
          <w:lang w:eastAsia="ko-KR"/>
        </w:rPr>
        <w:t>CID</w:t>
      </w:r>
      <w:r w:rsidRPr="008D120D">
        <w:rPr>
          <w:rFonts w:cs="Times New Roman"/>
          <w:color w:val="000000" w:themeColor="text1"/>
          <w:sz w:val="18"/>
          <w:szCs w:val="18"/>
          <w:lang w:eastAsia="ko-KR"/>
        </w:rPr>
        <w:t xml:space="preserve"> received for </w:t>
      </w:r>
      <w:proofErr w:type="spellStart"/>
      <w:r w:rsidR="000A0536">
        <w:rPr>
          <w:rFonts w:cs="Times New Roman"/>
          <w:color w:val="000000" w:themeColor="text1"/>
          <w:sz w:val="18"/>
          <w:szCs w:val="18"/>
          <w:lang w:eastAsia="ko-KR"/>
        </w:rPr>
        <w:t>REVme</w:t>
      </w:r>
      <w:proofErr w:type="spellEnd"/>
      <w:r w:rsidR="00EB5BC1" w:rsidRPr="008D120D">
        <w:rPr>
          <w:rFonts w:cs="Times New Roman"/>
          <w:color w:val="000000" w:themeColor="text1"/>
          <w:sz w:val="18"/>
          <w:szCs w:val="18"/>
          <w:lang w:eastAsia="ko-KR"/>
        </w:rPr>
        <w:t xml:space="preserve"> CC</w:t>
      </w:r>
      <w:r w:rsidR="002D68D1">
        <w:rPr>
          <w:rFonts w:cs="Times New Roman"/>
          <w:color w:val="000000" w:themeColor="text1"/>
          <w:sz w:val="18"/>
          <w:szCs w:val="18"/>
          <w:lang w:eastAsia="ko-KR"/>
        </w:rPr>
        <w:t>258</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r w:rsidR="00795E36">
        <w:rPr>
          <w:rFonts w:cs="Times New Roman"/>
          <w:color w:val="000000" w:themeColor="text1"/>
          <w:sz w:val="18"/>
          <w:szCs w:val="18"/>
          <w:lang w:eastAsia="ko-KR"/>
        </w:rPr>
        <w:t>1233</w:t>
      </w:r>
    </w:p>
    <w:bookmarkEnd w:id="0"/>
    <w:p w14:paraId="2F6FBF17" w14:textId="77777777" w:rsidR="00AB4E23" w:rsidRPr="008D120D"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w:t>
      </w:r>
      <w:bookmarkStart w:id="1" w:name="_GoBack"/>
      <w:bookmarkEnd w:id="1"/>
      <w:r w:rsidRPr="008D120D">
        <w:rPr>
          <w:rFonts w:ascii="Times New Roman" w:eastAsia="Malgun Gothic" w:hAnsi="Times New Roman" w:cs="Times New Roman"/>
          <w:b/>
          <w:bCs/>
          <w:i/>
          <w:iCs/>
          <w:color w:val="000000" w:themeColor="text1"/>
          <w:sz w:val="18"/>
          <w:szCs w:val="20"/>
          <w:lang w:val="en-GB" w:eastAsia="ko-KR"/>
        </w:rPr>
        <w:t xml:space="preserv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
        <w:gridCol w:w="72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gridSpan w:val="2"/>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0A0536" w:rsidRPr="000A0536" w14:paraId="01E0BA64"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5AAA9D46" w14:textId="31946AC7"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1233</w:t>
            </w:r>
          </w:p>
        </w:tc>
        <w:tc>
          <w:tcPr>
            <w:tcW w:w="720" w:type="dxa"/>
            <w:tcBorders>
              <w:top w:val="single" w:sz="4" w:space="0" w:color="auto"/>
              <w:left w:val="single" w:sz="4" w:space="0" w:color="auto"/>
              <w:bottom w:val="single" w:sz="4" w:space="0" w:color="auto"/>
              <w:right w:val="single" w:sz="4" w:space="0" w:color="auto"/>
            </w:tcBorders>
          </w:tcPr>
          <w:p w14:paraId="5E606FC7" w14:textId="17FA985C" w:rsidR="000A0536" w:rsidRPr="000A0536" w:rsidRDefault="000A0536" w:rsidP="000A0536">
            <w:pPr>
              <w:rPr>
                <w:rFonts w:ascii="Arial" w:hAnsi="Arial" w:cs="Arial"/>
                <w:sz w:val="18"/>
                <w:szCs w:val="18"/>
              </w:rPr>
            </w:pPr>
            <w:r w:rsidRPr="000A0536">
              <w:rPr>
                <w:rFonts w:ascii="Arial" w:hAnsi="Arial" w:cs="Arial"/>
                <w:sz w:val="18"/>
                <w:szCs w:val="18"/>
              </w:rPr>
              <w:t>10.2.6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AD0DF8" w14:textId="2BAF3F6E"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2081.53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DFDB36A" w14:textId="58567A4D"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The title and first sentence of subclause 10.2.6 indicate that DCF, HCF and TUA can be used together.  The remainder of the text only describes the operation of HCF and does not describe in any way how the three can be combined.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D8DEEC" w14:textId="4B02661F" w:rsidR="000A0536" w:rsidRPr="000A0536" w:rsidRDefault="000A0536" w:rsidP="000A0536">
            <w:pPr>
              <w:suppressAutoHyphens/>
              <w:spacing w:after="0"/>
              <w:rPr>
                <w:rFonts w:ascii="Arial" w:hAnsi="Arial" w:cs="Arial"/>
                <w:sz w:val="18"/>
                <w:szCs w:val="18"/>
              </w:rPr>
            </w:pPr>
            <w:r w:rsidRPr="000A0536">
              <w:rPr>
                <w:rFonts w:ascii="Arial" w:hAnsi="Arial" w:cs="Arial"/>
                <w:sz w:val="18"/>
                <w:szCs w:val="18"/>
              </w:rPr>
              <w:t>Expand paragraph to indicate how the use of the three methods can be combined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1BA368" w14:textId="77777777" w:rsidR="000A0536" w:rsidRDefault="000A0536" w:rsidP="000A0536">
            <w:pPr>
              <w:suppressAutoHyphens/>
              <w:spacing w:after="0" w:line="240" w:lineRule="auto"/>
              <w:rPr>
                <w:rFonts w:ascii="Arial" w:eastAsia="Malgun Gothic" w:hAnsi="Arial" w:cs="Arial"/>
                <w:color w:val="000000" w:themeColor="text1"/>
                <w:sz w:val="18"/>
                <w:szCs w:val="18"/>
                <w:lang w:val="en-GB"/>
              </w:rPr>
            </w:pPr>
            <w:r>
              <w:rPr>
                <w:rFonts w:ascii="Arial" w:eastAsia="Malgun Gothic" w:hAnsi="Arial" w:cs="Arial"/>
                <w:color w:val="000000" w:themeColor="text1"/>
                <w:sz w:val="18"/>
                <w:szCs w:val="18"/>
                <w:lang w:val="en-GB"/>
              </w:rPr>
              <w:t>Revised</w:t>
            </w:r>
          </w:p>
          <w:p w14:paraId="22EEA812" w14:textId="77777777" w:rsidR="000A0536" w:rsidRDefault="000A0536" w:rsidP="000A0536">
            <w:pPr>
              <w:suppressAutoHyphens/>
              <w:spacing w:after="0" w:line="240" w:lineRule="auto"/>
              <w:rPr>
                <w:rFonts w:ascii="Arial" w:eastAsia="Malgun Gothic" w:hAnsi="Arial" w:cs="Arial"/>
                <w:color w:val="000000" w:themeColor="text1"/>
                <w:sz w:val="18"/>
                <w:szCs w:val="18"/>
                <w:lang w:val="en-GB"/>
              </w:rPr>
            </w:pPr>
          </w:p>
          <w:p w14:paraId="72ECCF7C" w14:textId="25F61D50" w:rsidR="000A0536" w:rsidRPr="000A0536" w:rsidRDefault="000A0536" w:rsidP="000A0536">
            <w:pPr>
              <w:suppressAutoHyphens/>
              <w:spacing w:after="0" w:line="240" w:lineRule="auto"/>
              <w:rPr>
                <w:rFonts w:ascii="Arial" w:eastAsia="Malgun Gothic" w:hAnsi="Arial" w:cs="Arial"/>
                <w:color w:val="000000" w:themeColor="text1"/>
                <w:sz w:val="18"/>
                <w:szCs w:val="18"/>
                <w:lang w:val="en-GB"/>
              </w:rPr>
            </w:pPr>
            <w:r>
              <w:rPr>
                <w:rFonts w:ascii="Arial" w:eastAsia="Malgun Gothic" w:hAnsi="Arial" w:cs="Arial"/>
                <w:color w:val="000000" w:themeColor="text1"/>
                <w:sz w:val="18"/>
                <w:szCs w:val="18"/>
                <w:lang w:val="en-GB"/>
              </w:rPr>
              <w:t>Editor: Please apply the changes below labelled #1233.</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311376D4" w:rsidR="005A78C5" w:rsidRPr="008D120D" w:rsidRDefault="000A0536" w:rsidP="007A01E6">
      <w:pPr>
        <w:suppressAutoHyphens/>
        <w:rPr>
          <w:rFonts w:ascii="Times New Roman" w:hAnsi="Times New Roman" w:cs="Times New Roman"/>
          <w:b/>
          <w:i/>
          <w:iCs/>
          <w:color w:val="000000" w:themeColor="text1"/>
        </w:rPr>
      </w:pPr>
      <w:r>
        <w:rPr>
          <w:rFonts w:ascii="Times New Roman" w:hAnsi="Times New Roman" w:cs="Times New Roman"/>
          <w:b/>
          <w:i/>
          <w:iCs/>
          <w:color w:val="000000" w:themeColor="text1"/>
          <w:highlight w:val="yellow"/>
        </w:rPr>
        <w:t>E</w:t>
      </w:r>
      <w:r w:rsidR="005A78C5" w:rsidRPr="008D120D">
        <w:rPr>
          <w:rFonts w:ascii="Times New Roman" w:hAnsi="Times New Roman" w:cs="Times New Roman"/>
          <w:b/>
          <w:i/>
          <w:iCs/>
          <w:color w:val="000000" w:themeColor="text1"/>
          <w:highlight w:val="yellow"/>
        </w:rPr>
        <w:t xml:space="preserve">ditor: Please note </w:t>
      </w:r>
      <w:r w:rsidR="00222C6E" w:rsidRPr="008D120D">
        <w:rPr>
          <w:rFonts w:ascii="Times New Roman" w:hAnsi="Times New Roman" w:cs="Times New Roman"/>
          <w:b/>
          <w:i/>
          <w:iCs/>
          <w:color w:val="000000" w:themeColor="text1"/>
          <w:highlight w:val="yellow"/>
        </w:rPr>
        <w:t>b</w:t>
      </w:r>
      <w:r w:rsidR="005A78C5"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005A78C5" w:rsidRPr="008D120D">
        <w:rPr>
          <w:rFonts w:ascii="Times New Roman" w:hAnsi="Times New Roman" w:cs="Times New Roman"/>
          <w:b/>
          <w:i/>
          <w:iCs/>
          <w:color w:val="000000" w:themeColor="text1"/>
          <w:highlight w:val="yellow"/>
        </w:rPr>
        <w:t xml:space="preserve"> </w:t>
      </w:r>
      <w:proofErr w:type="spellStart"/>
      <w:r>
        <w:rPr>
          <w:rFonts w:ascii="Times New Roman" w:hAnsi="Times New Roman" w:cs="Times New Roman"/>
          <w:b/>
          <w:i/>
          <w:iCs/>
          <w:color w:val="000000" w:themeColor="text1"/>
          <w:highlight w:val="yellow"/>
        </w:rPr>
        <w:t>REVme</w:t>
      </w:r>
      <w:proofErr w:type="spellEnd"/>
      <w:r w:rsidR="005A78C5" w:rsidRPr="008D120D">
        <w:rPr>
          <w:rFonts w:ascii="Times New Roman" w:hAnsi="Times New Roman" w:cs="Times New Roman"/>
          <w:b/>
          <w:i/>
          <w:iCs/>
          <w:color w:val="000000" w:themeColor="text1"/>
          <w:highlight w:val="yellow"/>
        </w:rPr>
        <w:t xml:space="preserve"> D</w:t>
      </w:r>
      <w:r w:rsidRPr="000A0536">
        <w:rPr>
          <w:rFonts w:ascii="Times New Roman" w:hAnsi="Times New Roman" w:cs="Times New Roman"/>
          <w:b/>
          <w:i/>
          <w:iCs/>
          <w:color w:val="000000" w:themeColor="text1"/>
          <w:highlight w:val="yellow"/>
        </w:rPr>
        <w:t>1</w:t>
      </w:r>
      <w:r w:rsidR="008D120D" w:rsidRPr="000A0536">
        <w:rPr>
          <w:rFonts w:ascii="Times New Roman" w:hAnsi="Times New Roman" w:cs="Times New Roman"/>
          <w:b/>
          <w:i/>
          <w:iCs/>
          <w:color w:val="000000" w:themeColor="text1"/>
          <w:highlight w:val="yellow"/>
        </w:rPr>
        <w:t>.0</w:t>
      </w:r>
    </w:p>
    <w:p w14:paraId="621A8747" w14:textId="32616D76" w:rsidR="00225D5C" w:rsidRPr="008D120D" w:rsidRDefault="00225D5C" w:rsidP="007A01E6">
      <w:pPr>
        <w:suppressAutoHyphens/>
        <w:rPr>
          <w:rFonts w:ascii="Times New Roman" w:hAnsi="Times New Roman" w:cs="Times New Roman"/>
          <w:b/>
          <w:i/>
          <w:iCs/>
          <w:color w:val="000000" w:themeColor="text1"/>
        </w:rPr>
      </w:pPr>
    </w:p>
    <w:p w14:paraId="3F927DEE" w14:textId="77777777" w:rsidR="000A0536" w:rsidRPr="000A0536" w:rsidRDefault="000A0536" w:rsidP="000A0536">
      <w:pPr>
        <w:pStyle w:val="SP9299033"/>
        <w:spacing w:before="240" w:line="200" w:lineRule="atLeast"/>
        <w:jc w:val="both"/>
        <w:rPr>
          <w:rStyle w:val="SC9204816"/>
          <w:b/>
          <w:bCs/>
          <w:sz w:val="22"/>
        </w:rPr>
      </w:pPr>
      <w:r w:rsidRPr="000A0536">
        <w:rPr>
          <w:rStyle w:val="SC9204816"/>
          <w:b/>
          <w:bCs/>
          <w:sz w:val="22"/>
        </w:rPr>
        <w:t xml:space="preserve">10.2.6 Combined use of DCF, HCF and </w:t>
      </w:r>
      <w:proofErr w:type="gramStart"/>
      <w:r w:rsidRPr="000A0536">
        <w:rPr>
          <w:rStyle w:val="SC9204816"/>
          <w:b/>
          <w:bCs/>
          <w:sz w:val="22"/>
        </w:rPr>
        <w:t>TUA(</w:t>
      </w:r>
      <w:proofErr w:type="gramEnd"/>
      <w:r w:rsidRPr="000A0536">
        <w:rPr>
          <w:rStyle w:val="SC9204816"/>
          <w:b/>
          <w:bCs/>
          <w:sz w:val="22"/>
        </w:rPr>
        <w:t>11ax)</w:t>
      </w:r>
    </w:p>
    <w:p w14:paraId="798CF213" w14:textId="4425FDE0" w:rsidR="000A0536" w:rsidRDefault="000A0536" w:rsidP="000A0536">
      <w:pPr>
        <w:pStyle w:val="SP9299033"/>
        <w:spacing w:before="240" w:line="200" w:lineRule="atLeast"/>
        <w:jc w:val="both"/>
        <w:rPr>
          <w:rStyle w:val="SC9204816"/>
          <w:b/>
          <w:bCs/>
          <w:sz w:val="22"/>
        </w:rPr>
      </w:pPr>
      <w:r w:rsidRPr="00FB2D63">
        <w:rPr>
          <w:rStyle w:val="SC9204816"/>
          <w:rFonts w:ascii="Times New Roman" w:hAnsi="Times New Roman" w:cs="Times New Roman"/>
          <w:b/>
          <w:sz w:val="24"/>
          <w:szCs w:val="24"/>
        </w:rPr>
        <w:t xml:space="preserve">Editor: Please revise </w:t>
      </w:r>
      <w:r>
        <w:rPr>
          <w:rStyle w:val="SC9204816"/>
          <w:rFonts w:ascii="Times New Roman" w:hAnsi="Times New Roman" w:cs="Times New Roman"/>
          <w:b/>
          <w:sz w:val="24"/>
          <w:szCs w:val="24"/>
        </w:rPr>
        <w:t>the text in this sub-clause as follows</w:t>
      </w:r>
      <w:r w:rsidRPr="00FB2D63">
        <w:rPr>
          <w:rStyle w:val="SC9204816"/>
          <w:rFonts w:ascii="Times New Roman" w:hAnsi="Times New Roman" w:cs="Times New Roman"/>
          <w:b/>
          <w:sz w:val="24"/>
          <w:szCs w:val="24"/>
        </w:rPr>
        <w:t>:</w:t>
      </w:r>
    </w:p>
    <w:p w14:paraId="66354DA5" w14:textId="579BEC18" w:rsidR="00FB2D63" w:rsidRPr="000A0536" w:rsidRDefault="000A0536" w:rsidP="000A0536">
      <w:pPr>
        <w:pStyle w:val="SP9299033"/>
        <w:spacing w:before="240" w:line="200" w:lineRule="atLeast"/>
        <w:jc w:val="both"/>
        <w:rPr>
          <w:rStyle w:val="SC9204816"/>
          <w:rFonts w:ascii="Times New Roman" w:hAnsi="Times New Roman" w:cs="Times New Roman"/>
          <w:sz w:val="24"/>
          <w:szCs w:val="24"/>
        </w:rPr>
      </w:pPr>
      <w:r w:rsidRPr="000A0536">
        <w:rPr>
          <w:rStyle w:val="SC9204816"/>
          <w:bCs/>
          <w:sz w:val="22"/>
        </w:rPr>
        <w:t xml:space="preserve">The DCF, HCF, and </w:t>
      </w:r>
      <w:proofErr w:type="gramStart"/>
      <w:r w:rsidRPr="000A0536">
        <w:rPr>
          <w:rStyle w:val="SC9204816"/>
          <w:bCs/>
          <w:sz w:val="22"/>
        </w:rPr>
        <w:t>TUA(</w:t>
      </w:r>
      <w:proofErr w:type="gramEnd"/>
      <w:r w:rsidRPr="000A0536">
        <w:rPr>
          <w:rStyle w:val="SC9204816"/>
          <w:bCs/>
          <w:sz w:val="22"/>
        </w:rPr>
        <w:t>11ax) are defined so they may operate within the same BSS. The HCF access methods (controlled and contention based) operate sequentially. Sequential operation allows the polled and contention based access methods to alternate, within intervals as short as the time to transmit a frame exchange sequence, under rules defined in 10.23 (HCF).</w:t>
      </w:r>
      <w:r>
        <w:rPr>
          <w:rStyle w:val="SC9204816"/>
          <w:bCs/>
          <w:sz w:val="22"/>
        </w:rPr>
        <w:t xml:space="preserve"> </w:t>
      </w:r>
      <w:r w:rsidRPr="000A0536">
        <w:rPr>
          <w:rStyle w:val="SC9204816"/>
          <w:bCs/>
          <w:color w:val="FF0000"/>
          <w:sz w:val="22"/>
          <w:u w:val="single"/>
        </w:rPr>
        <w:t xml:space="preserve"> The TUA </w:t>
      </w:r>
      <w:r w:rsidR="00E41BB8">
        <w:rPr>
          <w:rStyle w:val="SC9204816"/>
          <w:bCs/>
          <w:color w:val="FF0000"/>
          <w:sz w:val="22"/>
          <w:u w:val="single"/>
        </w:rPr>
        <w:t xml:space="preserve">access </w:t>
      </w:r>
      <w:r w:rsidRPr="000A0536">
        <w:rPr>
          <w:rStyle w:val="SC9204816"/>
          <w:bCs/>
          <w:color w:val="FF0000"/>
          <w:sz w:val="22"/>
          <w:u w:val="single"/>
        </w:rPr>
        <w:t>methods (</w:t>
      </w:r>
      <w:r w:rsidR="00E41BB8">
        <w:rPr>
          <w:rStyle w:val="SC9204816"/>
          <w:bCs/>
          <w:color w:val="FF0000"/>
          <w:sz w:val="22"/>
          <w:u w:val="single"/>
        </w:rPr>
        <w:t>s</w:t>
      </w:r>
      <w:r w:rsidRPr="000A0536">
        <w:rPr>
          <w:rStyle w:val="SC9204816"/>
          <w:bCs/>
          <w:color w:val="FF0000"/>
          <w:sz w:val="22"/>
          <w:u w:val="single"/>
        </w:rPr>
        <w:t xml:space="preserve">ee 26.5.2 (UL MU operation) and 26.5.4 (UL OFDMA-based random access (UORA))) allow triggered uplink periods to be interspersed with polled and </w:t>
      </w:r>
      <w:proofErr w:type="gramStart"/>
      <w:r w:rsidRPr="000A0536">
        <w:rPr>
          <w:rStyle w:val="SC9204816"/>
          <w:bCs/>
          <w:color w:val="FF0000"/>
          <w:sz w:val="22"/>
          <w:u w:val="single"/>
        </w:rPr>
        <w:t xml:space="preserve">contention </w:t>
      </w:r>
      <w:r w:rsidR="00CB3D8F">
        <w:rPr>
          <w:rStyle w:val="SC9204816"/>
          <w:bCs/>
          <w:color w:val="FF0000"/>
          <w:sz w:val="22"/>
          <w:u w:val="single"/>
        </w:rPr>
        <w:t>based</w:t>
      </w:r>
      <w:proofErr w:type="gramEnd"/>
      <w:r w:rsidR="00CB3D8F">
        <w:rPr>
          <w:rStyle w:val="SC9204816"/>
          <w:bCs/>
          <w:color w:val="FF0000"/>
          <w:sz w:val="22"/>
          <w:u w:val="single"/>
        </w:rPr>
        <w:t xml:space="preserve"> access methods</w:t>
      </w:r>
      <w:r w:rsidRPr="000A0536">
        <w:rPr>
          <w:rStyle w:val="SC9204816"/>
          <w:bCs/>
          <w:color w:val="FF0000"/>
          <w:sz w:val="22"/>
          <w:u w:val="single"/>
        </w:rPr>
        <w:t>.  In addition, triggered uplink periods support contention</w:t>
      </w:r>
      <w:r w:rsidR="00CB3D8F">
        <w:rPr>
          <w:rStyle w:val="SC9204816"/>
          <w:bCs/>
          <w:color w:val="FF0000"/>
          <w:sz w:val="22"/>
          <w:u w:val="single"/>
        </w:rPr>
        <w:t xml:space="preserve"> </w:t>
      </w:r>
      <w:r w:rsidRPr="000A0536">
        <w:rPr>
          <w:rStyle w:val="SC9204816"/>
          <w:bCs/>
          <w:color w:val="FF0000"/>
          <w:sz w:val="22"/>
          <w:u w:val="single"/>
        </w:rPr>
        <w:t>based random access.</w:t>
      </w:r>
      <w:r>
        <w:rPr>
          <w:rStyle w:val="SC9204816"/>
          <w:bCs/>
          <w:color w:val="FF0000"/>
          <w:sz w:val="22"/>
          <w:u w:val="single"/>
        </w:rPr>
        <w:t xml:space="preserve"> [1233]</w:t>
      </w:r>
    </w:p>
    <w:sectPr w:rsidR="00FB2D63" w:rsidRPr="000A0536"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2F5B" w14:textId="77777777" w:rsidR="008F31F2" w:rsidRDefault="008F31F2">
      <w:pPr>
        <w:spacing w:after="0" w:line="240" w:lineRule="auto"/>
      </w:pPr>
      <w:r>
        <w:separator/>
      </w:r>
    </w:p>
  </w:endnote>
  <w:endnote w:type="continuationSeparator" w:id="0">
    <w:p w14:paraId="3E7581B7" w14:textId="77777777" w:rsidR="008F31F2" w:rsidRDefault="008F31F2">
      <w:pPr>
        <w:spacing w:after="0" w:line="240" w:lineRule="auto"/>
      </w:pPr>
      <w:r>
        <w:continuationSeparator/>
      </w:r>
    </w:p>
  </w:endnote>
  <w:endnote w:type="continuationNotice" w:id="1">
    <w:p w14:paraId="7C6CF4A8" w14:textId="77777777" w:rsidR="008F31F2" w:rsidRDefault="008F3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2CCA4377"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A163B">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B2D63">
      <w:rPr>
        <w:rFonts w:ascii="Times New Roman" w:eastAsia="Malgun Gothic" w:hAnsi="Times New Roman" w:cs="Times New Roman"/>
        <w:sz w:val="24"/>
        <w:szCs w:val="20"/>
        <w:lang w:val="en-GB"/>
      </w:rPr>
      <w:t>John Wullert, 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E33AB74"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A163B">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18">
      <w:rPr>
        <w:rFonts w:ascii="Times New Roman" w:eastAsia="Malgun Gothic" w:hAnsi="Times New Roman" w:cs="Times New Roman"/>
        <w:sz w:val="24"/>
        <w:szCs w:val="20"/>
        <w:lang w:val="en-GB"/>
      </w:rPr>
      <w:t>John Wullert,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A628" w14:textId="77777777" w:rsidR="008F31F2" w:rsidRDefault="008F31F2">
      <w:pPr>
        <w:spacing w:after="0" w:line="240" w:lineRule="auto"/>
      </w:pPr>
      <w:r>
        <w:separator/>
      </w:r>
    </w:p>
  </w:footnote>
  <w:footnote w:type="continuationSeparator" w:id="0">
    <w:p w14:paraId="76B8BE10" w14:textId="77777777" w:rsidR="008F31F2" w:rsidRDefault="008F31F2">
      <w:pPr>
        <w:spacing w:after="0" w:line="240" w:lineRule="auto"/>
      </w:pPr>
      <w:r>
        <w:continuationSeparator/>
      </w:r>
    </w:p>
  </w:footnote>
  <w:footnote w:type="continuationNotice" w:id="1">
    <w:p w14:paraId="16E01E69" w14:textId="77777777" w:rsidR="008F31F2" w:rsidRDefault="008F3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8A100EF" w:rsidR="00233420" w:rsidRPr="002D636E" w:rsidRDefault="00CB3D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1534E5">
      <w:rPr>
        <w:rFonts w:ascii="Times New Roman" w:eastAsia="Malgun Gothic" w:hAnsi="Times New Roman" w:cs="Times New Roman"/>
        <w:b/>
        <w:sz w:val="28"/>
        <w:szCs w:val="20"/>
      </w:rPr>
      <w:t xml:space="preserve"> 2022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lang w:val="en-GB"/>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1534E5">
      <w:rPr>
        <w:rFonts w:ascii="Times New Roman" w:eastAsia="Malgun Gothic" w:hAnsi="Times New Roman" w:cs="Times New Roman"/>
        <w:b/>
        <w:sz w:val="28"/>
        <w:szCs w:val="20"/>
        <w:lang w:val="en-GB"/>
      </w:rPr>
      <w:t>2</w:t>
    </w:r>
    <w:r w:rsidR="00EA163B">
      <w:rPr>
        <w:rFonts w:ascii="Times New Roman" w:eastAsia="Malgun Gothic" w:hAnsi="Times New Roman" w:cs="Times New Roman"/>
        <w:b/>
        <w:sz w:val="28"/>
        <w:szCs w:val="20"/>
        <w:lang w:val="en-GB"/>
      </w:rPr>
      <w:t>-</w:t>
    </w:r>
    <w:r w:rsidR="00EA163B" w:rsidRPr="00EA163B">
      <w:rPr>
        <w:rFonts w:ascii="Times New Roman" w:eastAsia="Malgun Gothic" w:hAnsi="Times New Roman" w:cs="Times New Roman"/>
        <w:b/>
        <w:sz w:val="28"/>
        <w:szCs w:val="20"/>
        <w:lang w:val="en-GB"/>
      </w:rPr>
      <w:t>0995</w:t>
    </w:r>
    <w:r w:rsidR="00EA163B">
      <w:rPr>
        <w:rFonts w:ascii="Times New Roman" w:eastAsia="Malgun Gothic" w:hAnsi="Times New Roman" w:cs="Times New Roman"/>
        <w:b/>
        <w:sz w:val="28"/>
        <w:szCs w:val="20"/>
        <w:lang w:val="en-GB"/>
      </w:rPr>
      <w:t>-</w:t>
    </w:r>
    <w:r w:rsidR="001534E5">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1</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178CC11" w:rsidR="00233420" w:rsidRPr="00DE6B44" w:rsidRDefault="005E09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lang w:val="en-GB"/>
      </w:rPr>
      <w:tab/>
    </w:r>
    <w:r w:rsidR="00233420" w:rsidRPr="00B31A3B">
      <w:rPr>
        <w:rFonts w:ascii="Times New Roman" w:eastAsia="Malgun Gothic" w:hAnsi="Times New Roman" w:cs="Times New Roman"/>
        <w:b/>
        <w:sz w:val="28"/>
        <w:szCs w:val="20"/>
        <w:lang w:val="en-GB"/>
      </w:rPr>
      <w:t xml:space="preserve">doc.: </w:t>
    </w:r>
    <w:r w:rsidR="00EA163B" w:rsidRPr="00B31A3B">
      <w:rPr>
        <w:rFonts w:ascii="Times New Roman" w:eastAsia="Malgun Gothic" w:hAnsi="Times New Roman" w:cs="Times New Roman"/>
        <w:b/>
        <w:sz w:val="28"/>
        <w:szCs w:val="20"/>
        <w:lang w:val="en-GB"/>
      </w:rPr>
      <w:t>IEEE 802.11-</w:t>
    </w:r>
    <w:r w:rsidR="00EA163B">
      <w:rPr>
        <w:rFonts w:ascii="Times New Roman" w:eastAsia="Malgun Gothic" w:hAnsi="Times New Roman" w:cs="Times New Roman"/>
        <w:b/>
        <w:sz w:val="28"/>
        <w:szCs w:val="20"/>
        <w:lang w:val="en-GB"/>
      </w:rPr>
      <w:t>22-</w:t>
    </w:r>
    <w:r w:rsidR="00EA163B" w:rsidRPr="00EA163B">
      <w:rPr>
        <w:rFonts w:ascii="Times New Roman" w:eastAsia="Malgun Gothic" w:hAnsi="Times New Roman" w:cs="Times New Roman"/>
        <w:b/>
        <w:sz w:val="28"/>
        <w:szCs w:val="20"/>
        <w:lang w:val="en-GB"/>
      </w:rPr>
      <w:t>0995</w:t>
    </w:r>
    <w:r w:rsidR="00EA163B">
      <w:rPr>
        <w:rFonts w:ascii="Times New Roman" w:eastAsia="Malgun Gothic" w:hAnsi="Times New Roman" w:cs="Times New Roman"/>
        <w:b/>
        <w:sz w:val="28"/>
        <w:szCs w:val="20"/>
        <w:lang w:val="en-GB"/>
      </w:rPr>
      <w:t>-00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r w:rsidR="00233420"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wUAOnX60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536"/>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4E5"/>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8D1"/>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36"/>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1F2"/>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3D8F"/>
    <w:rsid w:val="00CB4181"/>
    <w:rsid w:val="00CB45F7"/>
    <w:rsid w:val="00CB462E"/>
    <w:rsid w:val="00CB47CC"/>
    <w:rsid w:val="00CB480C"/>
    <w:rsid w:val="00CB49A5"/>
    <w:rsid w:val="00CB49C3"/>
    <w:rsid w:val="00CB4A50"/>
    <w:rsid w:val="00CB4B2D"/>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6"/>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BB8"/>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BF"/>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63B"/>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4796944">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50A1C09F-E0F7-416F-A12E-73329226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Wullert, John R  II</cp:lastModifiedBy>
  <cp:revision>2</cp:revision>
  <dcterms:created xsi:type="dcterms:W3CDTF">2022-09-14T18:17:00Z</dcterms:created>
  <dcterms:modified xsi:type="dcterms:W3CDTF">2022-09-14T18:17:00Z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