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38"/>
        <w:gridCol w:w="812"/>
        <w:gridCol w:w="2928"/>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16 June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2022-06-</w:t>
            </w:r>
            <w:r>
              <w:rPr>
                <w:b w:val="false"/>
                <w:sz w:val="20"/>
              </w:rPr>
              <w:t>27</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3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2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5030" cy="2856230"/>
                <wp:effectExtent l="0" t="0" r="0" b="0"/>
                <wp:wrapTopAndBottom/>
                <wp:docPr id="1" name="Ram1"/>
                <a:graphic xmlns:a="http://schemas.openxmlformats.org/drawingml/2006/main">
                  <a:graphicData uri="http://schemas.microsoft.com/office/word/2010/wordprocessingShape">
                    <wps:wsp>
                      <wps:cNvSpPr/>
                      <wps:spPr>
                        <a:xfrm>
                          <a:off x="0" y="0"/>
                          <a:ext cx="5954400" cy="28555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16 June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45pt;margin-top:16.55pt;width:468.8pt;height:224.8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16 June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11-22-830r2:</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numPr>
          <w:ilvl w:val="1"/>
          <w:numId w:val="2"/>
        </w:numPr>
        <w:rPr/>
      </w:pPr>
      <w:r>
        <w:rPr/>
        <w:t>IEEE individual process slides were presented.</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11-22-830r2 (slide #16)</w:t>
      </w:r>
    </w:p>
    <w:p>
      <w:pPr>
        <w:pStyle w:val="Normal"/>
        <w:numPr>
          <w:ilvl w:val="1"/>
          <w:numId w:val="2"/>
        </w:numPr>
        <w:rPr/>
      </w:pPr>
      <w:r>
        <w:rPr/>
        <w:t>Adoption of agenda 11-22-830r2 slide #16 by unanimous consent (19 participants).</w:t>
      </w:r>
      <w:r>
        <w:br w:type="page"/>
      </w:r>
    </w:p>
    <w:p>
      <w:pPr>
        <w:pStyle w:val="Normal"/>
        <w:numPr>
          <w:ilvl w:val="0"/>
          <w:numId w:val="0"/>
        </w:numPr>
        <w:ind w:left="792" w:hanging="0"/>
        <w:rPr/>
      </w:pPr>
      <w:r>
        <w:rPr/>
      </w:r>
    </w:p>
    <w:p>
      <w:pPr>
        <w:pStyle w:val="Normal"/>
        <w:numPr>
          <w:ilvl w:val="0"/>
          <w:numId w:val="2"/>
        </w:numPr>
        <w:rPr>
          <w:b/>
          <w:b/>
          <w:bCs/>
        </w:rPr>
      </w:pPr>
      <w:r>
        <w:rPr>
          <w:b/>
          <w:bCs/>
        </w:rPr>
        <w:t>Administrative</w:t>
        <w:br/>
      </w:r>
    </w:p>
    <w:p>
      <w:pPr>
        <w:pStyle w:val="Normal"/>
        <w:numPr>
          <w:ilvl w:val="1"/>
          <w:numId w:val="2"/>
        </w:numPr>
        <w:rPr/>
      </w:pPr>
      <w:r>
        <w:rPr>
          <w:shd w:fill="auto" w:val="clear"/>
        </w:rPr>
        <w:t>No one is announcing new submissions planned.</w:t>
        <w:br/>
      </w:r>
    </w:p>
    <w:p>
      <w:pPr>
        <w:pStyle w:val="Normal"/>
        <w:numPr>
          <w:ilvl w:val="1"/>
          <w:numId w:val="2"/>
        </w:numPr>
        <w:rPr/>
      </w:pPr>
      <w:r>
        <w:rPr>
          <w:shd w:fill="auto" w:val="clear"/>
        </w:rPr>
        <w:t>Cancelling 23 June 2022 teleconference?</w:t>
        <w:br/>
        <w:br/>
        <w:t>In the absence of planned submission, chair recommends cancelling. Some support in the room. No objections to cancelling the teleconference.</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Review of proposed requirements from document 11-22-1848r8</w:t>
        <w:br/>
        <w:br/>
      </w:r>
      <w:r>
        <w:rPr>
          <w:rFonts w:eastAsia="MS Mincho;ＭＳ 明朝" w:cs="Times New Roman"/>
          <w:b w:val="false"/>
          <w:bCs w:val="false"/>
          <w:color w:val="auto"/>
          <w:kern w:val="0"/>
          <w:sz w:val="22"/>
          <w:szCs w:val="20"/>
          <w:lang w:val="en-US" w:eastAsia="zh-CN" w:bidi="ar-SA"/>
        </w:rPr>
        <w:t xml:space="preserve">See also the requirements tables grouped by issue in the chair slide deck 11-22-830r2. </w:t>
      </w:r>
      <w:r>
        <w:rPr>
          <w:rFonts w:eastAsia="MS Mincho;ＭＳ 明朝" w:cs="Times New Roman"/>
          <w:b/>
          <w:bCs/>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issue 2 (cont. from 11-22/836r0 p. 7.3)</w:t>
        <w:br/>
        <w:br/>
        <w:t xml:space="preserve">Chair: </w:t>
      </w:r>
      <w:r>
        <w:rPr>
          <w:rFonts w:eastAsia="MS Mincho;ＭＳ 明朝" w:cs="Times New Roman"/>
          <w:b w:val="false"/>
          <w:bCs w:val="false"/>
          <w:color w:val="auto"/>
          <w:kern w:val="0"/>
          <w:sz w:val="22"/>
          <w:szCs w:val="20"/>
          <w:lang w:val="en-US" w:eastAsia="zh-CN" w:bidi="ar-SA"/>
        </w:rPr>
        <w:t xml:space="preserve">We come back to requirement 26. </w:t>
      </w:r>
      <w:r>
        <w:rPr>
          <w:rFonts w:eastAsia="MS Mincho;ＭＳ 明朝" w:cs="Times New Roman"/>
          <w:b/>
          <w:bCs/>
          <w:color w:val="auto"/>
          <w:kern w:val="0"/>
          <w:sz w:val="22"/>
          <w:szCs w:val="20"/>
          <w:lang w:val="en-US" w:eastAsia="zh-CN" w:bidi="ar-SA"/>
        </w:rPr>
        <w:br/>
        <w:t xml:space="preserve">C: </w:t>
      </w:r>
      <w:r>
        <w:rPr>
          <w:rFonts w:eastAsia="MS Mincho;ＭＳ 明朝" w:cs="Times New Roman"/>
          <w:b w:val="false"/>
          <w:bCs w:val="false"/>
          <w:color w:val="auto"/>
          <w:kern w:val="0"/>
          <w:sz w:val="22"/>
          <w:szCs w:val="20"/>
          <w:lang w:val="en-US" w:eastAsia="zh-CN" w:bidi="ar-SA"/>
        </w:rPr>
        <w:t>Do we need to select between the two proposals currently in 11-22-830r2 slide #19?</w:t>
        <w:br/>
        <w:t>C: We may need to have some more offline work. Original proposer will be back from holiday next week.</w:t>
        <w:br/>
        <w:t>Chair: I will mark requirement 26 as discussed. We will return to it after offline discussions.</w:t>
        <w:br/>
        <w:t>Chair: We come back to requirement 27.</w:t>
        <w:br/>
        <w:t>C: I want to have more discussion on what this means for the long list of items we currently tie to the MAC address if we change these parameters per MAC address. But it might be for an oflfine discussion.</w:t>
        <w:br/>
        <w:t>Chair: I will mark requirement 27 as discussed. We will return to it later.</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BPE AP and BPE STA</w:t>
      </w:r>
      <w:r>
        <w:rPr>
          <w:rFonts w:eastAsia="MS Mincho;ＭＳ 明朝" w:cs="Times New Roman"/>
          <w:b w:val="false"/>
          <w:bCs w:val="false"/>
          <w:color w:val="auto"/>
          <w:kern w:val="0"/>
          <w:sz w:val="22"/>
          <w:szCs w:val="20"/>
          <w:lang w:val="en-US" w:eastAsia="zh-CN" w:bidi="ar-SA"/>
        </w:rPr>
        <w:br/>
        <w:br/>
        <w:t>Chair: I would like to ask if people are ready to start discussing these proposed requirements yet.</w:t>
        <w:br/>
        <w:t>No comments.</w:t>
        <w:br/>
        <w:t>Chair: In the absence of discussion on these requirements, I'd like to make a call for presentations because I think some of these requirements need more in-depth technical presentations to get us moving.</w:t>
        <w:br/>
        <w:t xml:space="preserve">C: I agree we need to understand how this works more in depth. Some of these requirements we've also heard in earlier discussions that we could find alternative solutions, like putting or removing additional elements in beacons instead of encrypting them. </w:t>
        <w:br/>
        <w:t xml:space="preserve">C: Some of the requirements in 11-22-830r2 slide #20, I also ask how does this work with TBTT - do we need a more thorough re-design of the network? Coming back to unicast management frames as well, I do not think this is reasonable for probe request responses, I'd be very averse to having that included. </w:t>
        <w:br/>
        <w:t xml:space="preserve">C: For me it's not obvious how a beacon frame can even be protected. </w:t>
        <w:br/>
        <w:t>C: It's already possible to encrypt beacon frames with BIP, no? I don't know if it's mandatory but it's specified.</w:t>
        <w:br/>
        <w:t>C: BIP is not an encryption mechanism, right, it's MIC. So the requirement proposer here means something different from BIP, and we have broadcast frames, like beacons, discovery, it's not obvious then how we get the keys across.</w:t>
        <w:br/>
        <w:t xml:space="preserve">C: Implementing the proposals in requirement #34 will really impact the AP, so we need to have a lot more specificity here and also an assessment of the impact on the network. </w:t>
        <w:br/>
        <w:t xml:space="preserve">C: In my view mentioning beacon and discovery frames directly here does not make sense. Putting "TBD" might make more sense, as we've done in other requirements. </w:t>
        <w:br/>
        <w:t xml:space="preserve">C: Well, this requirement says "only encrypted management frames", so we could remove "only", but then if we say "shall transmit encrypted management frames TBD" that also doesn't make sense, because we can already make lists of management frames. </w:t>
        <w:br/>
        <w:t xml:space="preserve">Chair: I would like to propose that we close the call now, because unless we get more submissions it does not seem like we can make much head-way on some of these weedier requirements proposals. </w:t>
        <w:br/>
        <w:t>C: Broadcast beacon would not be used to ID a device but that AP?</w:t>
        <w:br/>
        <w:t>C: That is my understanding.</w:t>
        <w:br/>
        <w:t>Chair: I ask everyone to consider whether there are any submissions they would like to make so that we can advance our discussions.</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09:41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8010" w:type="dxa"/>
        <w:jc w:val="left"/>
        <w:tblInd w:w="0" w:type="dxa"/>
        <w:tblLayout w:type="fixed"/>
        <w:tblCellMar>
          <w:top w:w="0" w:type="dxa"/>
          <w:left w:w="0" w:type="dxa"/>
          <w:bottom w:w="0" w:type="dxa"/>
          <w:right w:w="0" w:type="dxa"/>
        </w:tblCellMar>
      </w:tblPr>
      <w:tblGrid>
        <w:gridCol w:w="3060"/>
        <w:gridCol w:w="4950"/>
      </w:tblGrid>
      <w:tr>
        <w:trPr>
          <w:trHeight w:val="300" w:hRule="atLeast"/>
        </w:trPr>
        <w:tc>
          <w:tcPr>
            <w:tcW w:w="306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495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DeLaOlivaDelgado, Antonio</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Harkins, Daniel</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 (Aruba Networks)</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 Harvey</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Thakur, Sidharth</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306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495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June 2022</w:t>
      <w:tab/>
      <w:tab/>
      <w:t>doc.: IEEE 802.11-22/0906r0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9626</TotalTime>
  <Application>LibreOffice/7.2.7.2$Linux_X86_64 LibreOffice_project/20$Build-2</Application>
  <AppVersion>15.0000</AppVersion>
  <Pages>3</Pages>
  <Words>874</Words>
  <Characters>4546</Characters>
  <CharactersWithSpaces>5345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2022-06-28T10:22:05Z</dcterms:modified>
  <cp:revision>65</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