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trPr>
          <w:trHeight w:val="485"/>
          <w:jc w:val="center"/>
        </w:trPr>
        <w:tc>
          <w:tcPr>
            <w:tcW w:w="9576" w:type="dxa"/>
            <w:gridSpan w:val="5"/>
            <w:vAlign w:val="center"/>
          </w:tcPr>
          <w:p w14:paraId="36171894" w14:textId="48E4EE0B" w:rsidR="00CA09B2" w:rsidRDefault="00D102B5">
            <w:pPr>
              <w:pStyle w:val="T2"/>
            </w:pPr>
            <w:r w:rsidRPr="00D102B5">
              <w:t>11-22-0846-00-000m</w:t>
            </w:r>
            <w:r>
              <w:t>-</w:t>
            </w:r>
            <w:r w:rsidR="002E41F8" w:rsidRPr="002E41F8">
              <w:t>Telecon Minutes for REVme - June 2022</w:t>
            </w:r>
          </w:p>
        </w:tc>
      </w:tr>
      <w:tr w:rsidR="00CA09B2" w14:paraId="39005E94" w14:textId="77777777">
        <w:trPr>
          <w:trHeight w:val="359"/>
          <w:jc w:val="center"/>
        </w:trPr>
        <w:tc>
          <w:tcPr>
            <w:tcW w:w="9576" w:type="dxa"/>
            <w:gridSpan w:val="5"/>
            <w:vAlign w:val="center"/>
          </w:tcPr>
          <w:p w14:paraId="18315E6E" w14:textId="3DCD5C4C" w:rsidR="00CA09B2" w:rsidRDefault="00CA09B2">
            <w:pPr>
              <w:pStyle w:val="T2"/>
              <w:ind w:left="0"/>
              <w:rPr>
                <w:sz w:val="20"/>
              </w:rPr>
            </w:pPr>
            <w:r>
              <w:rPr>
                <w:sz w:val="20"/>
              </w:rPr>
              <w:t>Date:</w:t>
            </w:r>
            <w:r>
              <w:rPr>
                <w:b w:val="0"/>
                <w:sz w:val="20"/>
              </w:rPr>
              <w:t xml:space="preserve">  </w:t>
            </w:r>
            <w:r w:rsidR="007954CE">
              <w:rPr>
                <w:b w:val="0"/>
                <w:sz w:val="20"/>
              </w:rPr>
              <w:t>2022</w:t>
            </w:r>
            <w:r>
              <w:rPr>
                <w:b w:val="0"/>
                <w:sz w:val="20"/>
              </w:rPr>
              <w:t>-</w:t>
            </w:r>
            <w:r w:rsidR="007954CE">
              <w:rPr>
                <w:b w:val="0"/>
                <w:sz w:val="20"/>
              </w:rPr>
              <w:t>06</w:t>
            </w:r>
            <w:r>
              <w:rPr>
                <w:b w:val="0"/>
                <w:sz w:val="20"/>
              </w:rPr>
              <w:t>-</w:t>
            </w:r>
            <w:r w:rsidR="007954CE">
              <w:rPr>
                <w:b w:val="0"/>
                <w:sz w:val="20"/>
              </w:rPr>
              <w:t>0</w:t>
            </w:r>
            <w:r w:rsidR="00584205">
              <w:rPr>
                <w:b w:val="0"/>
                <w:sz w:val="20"/>
              </w:rPr>
              <w:t>6</w:t>
            </w:r>
          </w:p>
        </w:tc>
      </w:tr>
      <w:tr w:rsidR="00CA09B2" w14:paraId="5249C879" w14:textId="77777777">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1 801</w:t>
            </w:r>
            <w:r w:rsidR="007954CE">
              <w:rPr>
                <w:b w:val="0"/>
                <w:sz w:val="20"/>
              </w:rPr>
              <w:t xml:space="preserve">  492 4023</w:t>
            </w:r>
          </w:p>
        </w:tc>
        <w:tc>
          <w:tcPr>
            <w:tcW w:w="1647" w:type="dxa"/>
            <w:vAlign w:val="center"/>
          </w:tcPr>
          <w:p w14:paraId="7E6BA931" w14:textId="3C1EE041" w:rsidR="00CA09B2" w:rsidRDefault="007954CE">
            <w:pPr>
              <w:pStyle w:val="T2"/>
              <w:spacing w:after="0"/>
              <w:ind w:left="0" w:right="0"/>
              <w:rPr>
                <w:b w:val="0"/>
                <w:sz w:val="16"/>
              </w:rPr>
            </w:pPr>
            <w:r>
              <w:rPr>
                <w:b w:val="0"/>
                <w:sz w:val="16"/>
              </w:rPr>
              <w:t>jrosdahl @ ieee. org</w:t>
            </w:r>
          </w:p>
        </w:tc>
      </w:tr>
      <w:tr w:rsidR="00CA09B2" w14:paraId="1BD30416" w14:textId="77777777">
        <w:trPr>
          <w:jc w:val="center"/>
        </w:trPr>
        <w:tc>
          <w:tcPr>
            <w:tcW w:w="1336" w:type="dxa"/>
            <w:vAlign w:val="center"/>
          </w:tcPr>
          <w:p w14:paraId="49AE59A1" w14:textId="77777777" w:rsidR="00CA09B2" w:rsidRDefault="00CA09B2">
            <w:pPr>
              <w:pStyle w:val="T2"/>
              <w:spacing w:after="0"/>
              <w:ind w:left="0" w:right="0"/>
              <w:rPr>
                <w:b w:val="0"/>
                <w:sz w:val="20"/>
              </w:rPr>
            </w:pPr>
          </w:p>
        </w:tc>
        <w:tc>
          <w:tcPr>
            <w:tcW w:w="2064" w:type="dxa"/>
            <w:vAlign w:val="center"/>
          </w:tcPr>
          <w:p w14:paraId="40B14211" w14:textId="77777777" w:rsidR="00CA09B2" w:rsidRDefault="00CA09B2">
            <w:pPr>
              <w:pStyle w:val="T2"/>
              <w:spacing w:after="0"/>
              <w:ind w:left="0" w:right="0"/>
              <w:rPr>
                <w:b w:val="0"/>
                <w:sz w:val="20"/>
              </w:rPr>
            </w:pPr>
          </w:p>
        </w:tc>
        <w:tc>
          <w:tcPr>
            <w:tcW w:w="2814" w:type="dxa"/>
            <w:vAlign w:val="center"/>
          </w:tcPr>
          <w:p w14:paraId="6B406914" w14:textId="77777777" w:rsidR="00CA09B2" w:rsidRDefault="00CA09B2">
            <w:pPr>
              <w:pStyle w:val="T2"/>
              <w:spacing w:after="0"/>
              <w:ind w:left="0" w:right="0"/>
              <w:rPr>
                <w:b w:val="0"/>
                <w:sz w:val="20"/>
              </w:rPr>
            </w:pPr>
          </w:p>
        </w:tc>
        <w:tc>
          <w:tcPr>
            <w:tcW w:w="1715" w:type="dxa"/>
            <w:vAlign w:val="center"/>
          </w:tcPr>
          <w:p w14:paraId="210C1B7B" w14:textId="77777777" w:rsidR="00CA09B2" w:rsidRDefault="00CA09B2">
            <w:pPr>
              <w:pStyle w:val="T2"/>
              <w:spacing w:after="0"/>
              <w:ind w:left="0" w:right="0"/>
              <w:rPr>
                <w:b w:val="0"/>
                <w:sz w:val="20"/>
              </w:rPr>
            </w:pPr>
          </w:p>
        </w:tc>
        <w:tc>
          <w:tcPr>
            <w:tcW w:w="1647" w:type="dxa"/>
            <w:vAlign w:val="center"/>
          </w:tcPr>
          <w:p w14:paraId="6886F0DC" w14:textId="77777777" w:rsidR="00CA09B2" w:rsidRDefault="00CA09B2">
            <w:pPr>
              <w:pStyle w:val="T2"/>
              <w:spacing w:after="0"/>
              <w:ind w:left="0" w:right="0"/>
              <w:rPr>
                <w:b w:val="0"/>
                <w:sz w:val="16"/>
              </w:rPr>
            </w:pP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58DB94" wp14:editId="436C7E2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6B012076" w:rsidR="00F20B30" w:rsidRDefault="00F20B30">
                            <w:pPr>
                              <w:jc w:val="both"/>
                            </w:pPr>
                            <w:r>
                              <w:t>R0: June 3, 2022, Telecon</w:t>
                            </w:r>
                            <w:r w:rsidR="00584205">
                              <w:t xml:space="preserve"> minutes.</w:t>
                            </w:r>
                          </w:p>
                          <w:p w14:paraId="515D46E2" w14:textId="7CFA3802" w:rsidR="00584205" w:rsidRDefault="00584205">
                            <w:pPr>
                              <w:jc w:val="both"/>
                            </w:pPr>
                            <w:r>
                              <w:t>R1: June 6, 2022, Telecon minutes added</w:t>
                            </w:r>
                          </w:p>
                          <w:p w14:paraId="2643AFCC" w14:textId="0DBBDD62" w:rsidR="00D065C9" w:rsidRDefault="00D065C9">
                            <w:pPr>
                              <w:jc w:val="both"/>
                            </w:pPr>
                          </w:p>
                          <w:p w14:paraId="7B28BBE2" w14:textId="64BCD1A6" w:rsidR="00D065C9" w:rsidRDefault="00D065C9">
                            <w:pPr>
                              <w:jc w:val="both"/>
                            </w:pPr>
                          </w:p>
                          <w:p w14:paraId="7C67870F" w14:textId="50DE64FD" w:rsidR="00D065C9" w:rsidRPr="00EA458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6B012076" w:rsidR="00F20B30" w:rsidRDefault="00F20B30">
                      <w:pPr>
                        <w:jc w:val="both"/>
                      </w:pPr>
                      <w:r>
                        <w:t>R0: June 3, 2022, Telecon</w:t>
                      </w:r>
                      <w:r w:rsidR="00584205">
                        <w:t xml:space="preserve"> minutes.</w:t>
                      </w:r>
                    </w:p>
                    <w:p w14:paraId="515D46E2" w14:textId="7CFA3802" w:rsidR="00584205" w:rsidRDefault="00584205">
                      <w:pPr>
                        <w:jc w:val="both"/>
                      </w:pPr>
                      <w:r>
                        <w:t>R1: June 6, 2022, Telecon minutes added</w:t>
                      </w:r>
                    </w:p>
                    <w:p w14:paraId="2643AFCC" w14:textId="0DBBDD62" w:rsidR="00D065C9" w:rsidRDefault="00D065C9">
                      <w:pPr>
                        <w:jc w:val="both"/>
                      </w:pPr>
                    </w:p>
                    <w:p w14:paraId="7B28BBE2" w14:textId="64BCD1A6" w:rsidR="00D065C9" w:rsidRDefault="00D065C9">
                      <w:pPr>
                        <w:jc w:val="both"/>
                      </w:pPr>
                    </w:p>
                    <w:p w14:paraId="7C67870F" w14:textId="50DE64FD" w:rsidR="00D065C9" w:rsidRPr="00EA458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r w:rsidR="002B51E9" w:rsidRPr="00FA5C5F">
        <w:rPr>
          <w:b/>
          <w:bCs/>
          <w:szCs w:val="22"/>
        </w:rPr>
        <w:lastRenderedPageBreak/>
        <w:t>TGme (REVme)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77777777" w:rsidR="002B51E9" w:rsidRDefault="002B51E9" w:rsidP="002B51E9">
      <w:pPr>
        <w:pStyle w:val="ListParagraph"/>
        <w:numPr>
          <w:ilvl w:val="3"/>
          <w:numId w:val="1"/>
        </w:numPr>
        <w:rPr>
          <w:szCs w:val="22"/>
        </w:rPr>
      </w:pPr>
      <w:r w:rsidRPr="00FA5C5F">
        <w:rPr>
          <w:szCs w:val="22"/>
        </w:rPr>
        <w:t>Vice Chair - Mark RISON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r>
              <w:rPr>
                <w:rFonts w:ascii="Calibri" w:hAnsi="Calibri" w:cs="Calibri"/>
                <w:color w:val="000000"/>
                <w:szCs w:val="22"/>
              </w:rPr>
              <w:t>Halasz,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r>
              <w:rPr>
                <w:rFonts w:ascii="Calibri" w:hAnsi="Calibri" w:cs="Calibri"/>
                <w:color w:val="000000"/>
                <w:szCs w:val="22"/>
              </w:rPr>
              <w:t>Handte,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r>
              <w:rPr>
                <w:rFonts w:ascii="Calibri" w:hAnsi="Calibri" w:cs="Calibri"/>
                <w:color w:val="000000"/>
                <w:szCs w:val="22"/>
              </w:rPr>
              <w:t>InterDigital,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r>
              <w:rPr>
                <w:rFonts w:ascii="Calibri" w:hAnsi="Calibri" w:cs="Calibri"/>
                <w:color w:val="000000"/>
                <w:szCs w:val="22"/>
              </w:rPr>
              <w:t>Lumbatis,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42062EC0" w:rsidR="005C01B7" w:rsidRPr="00773348" w:rsidRDefault="005C01B7" w:rsidP="005C01B7">
            <w:pPr>
              <w:rPr>
                <w:color w:val="000000"/>
                <w:szCs w:val="22"/>
                <w:lang w:val="en-US"/>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Thakore, Darshak</w:t>
            </w:r>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(CableLabs)</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Wang, Xiaofei</w:t>
            </w:r>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r>
              <w:rPr>
                <w:rFonts w:ascii="Calibri" w:hAnsi="Calibri" w:cs="Calibri"/>
                <w:color w:val="000000"/>
                <w:szCs w:val="22"/>
              </w:rPr>
              <w:t>InterDigital,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7"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6F3D9B" w:rsidP="005C01B7">
      <w:pPr>
        <w:numPr>
          <w:ilvl w:val="2"/>
          <w:numId w:val="1"/>
        </w:numPr>
        <w:rPr>
          <w:szCs w:val="22"/>
        </w:rPr>
      </w:pPr>
      <w:hyperlink r:id="rId8"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2B51E9" w:rsidRDefault="002B51E9" w:rsidP="00041955">
      <w:pPr>
        <w:numPr>
          <w:ilvl w:val="0"/>
          <w:numId w:val="7"/>
        </w:numPr>
        <w:rPr>
          <w:sz w:val="20"/>
          <w:lang w:val="en-CA"/>
        </w:rPr>
      </w:pPr>
      <w:r w:rsidRPr="002B51E9">
        <w:rPr>
          <w:sz w:val="20"/>
          <w:lang w:val="en-CA"/>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(Mediatek)</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6F3D9B" w:rsidP="001A4AC6">
      <w:pPr>
        <w:numPr>
          <w:ilvl w:val="2"/>
          <w:numId w:val="1"/>
        </w:numPr>
        <w:rPr>
          <w:szCs w:val="22"/>
        </w:rPr>
      </w:pPr>
      <w:hyperlink r:id="rId9"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r>
        <w:rPr>
          <w:szCs w:val="22"/>
        </w:rPr>
        <w:t>Noninfrastructure IEEE 802.11 network in which none of the Aps belongin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77777777" w:rsidR="006C007D" w:rsidRPr="006C007D" w:rsidRDefault="006C007D" w:rsidP="006C007D">
      <w:pPr>
        <w:numPr>
          <w:ilvl w:val="4"/>
          <w:numId w:val="1"/>
        </w:numPr>
        <w:rPr>
          <w:szCs w:val="22"/>
        </w:rPr>
      </w:pPr>
      <w:r w:rsidRPr="006C007D">
        <w:rPr>
          <w:szCs w:val="22"/>
        </w:rPr>
        <w:t>from [V] Mark RISON Samsung to everyone:    8:28 AM</w:t>
      </w:r>
    </w:p>
    <w:p w14:paraId="7DDFD8C0" w14:textId="77777777" w:rsidR="006C007D" w:rsidRPr="006C007D" w:rsidRDefault="006C007D" w:rsidP="006C007D">
      <w:pPr>
        <w:ind w:left="3960"/>
        <w:rPr>
          <w:szCs w:val="22"/>
        </w:rPr>
      </w:pPr>
      <w:r w:rsidRPr="006C007D">
        <w:rPr>
          <w:szCs w:val="22"/>
        </w:rPr>
        <w:t>"subfields values" -&gt; subfields</w:t>
      </w:r>
    </w:p>
    <w:p w14:paraId="0F8B2A53" w14:textId="77777777" w:rsidR="006C007D" w:rsidRPr="006C007D" w:rsidRDefault="006C007D" w:rsidP="006C007D">
      <w:pPr>
        <w:ind w:left="3960"/>
        <w:rPr>
          <w:szCs w:val="22"/>
        </w:rPr>
      </w:pPr>
      <w:r w:rsidRPr="006C007D">
        <w:rPr>
          <w:szCs w:val="22"/>
        </w:rPr>
        <w:t>"is not carried" -&gt; is not present</w:t>
      </w:r>
    </w:p>
    <w:p w14:paraId="1CDB13C8" w14:textId="77777777" w:rsidR="006C007D" w:rsidRDefault="006C007D" w:rsidP="006C007D">
      <w:pPr>
        <w:ind w:left="3960"/>
        <w:rPr>
          <w:szCs w:val="22"/>
        </w:rPr>
      </w:pPr>
      <w:r w:rsidRPr="006C007D">
        <w:rPr>
          <w:szCs w:val="22"/>
        </w:rPr>
        <w:t>"includes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"reffered" spelling</w:t>
      </w:r>
    </w:p>
    <w:p w14:paraId="0096BDBA" w14:textId="77777777" w:rsidR="006C007D" w:rsidRPr="006C007D" w:rsidRDefault="006C007D" w:rsidP="006C007D">
      <w:pPr>
        <w:ind w:left="3960"/>
        <w:rPr>
          <w:szCs w:val="22"/>
        </w:rPr>
      </w:pPr>
      <w:r w:rsidRPr="006C007D">
        <w:rPr>
          <w:szCs w:val="22"/>
        </w:rPr>
        <w:t>"does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"Noninfrastructure"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"off-channel"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"set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"field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6F3D9B" w:rsidP="001C266D">
      <w:pPr>
        <w:numPr>
          <w:ilvl w:val="2"/>
          <w:numId w:val="1"/>
        </w:numPr>
        <w:rPr>
          <w:szCs w:val="22"/>
        </w:rPr>
      </w:pPr>
      <w:hyperlink r:id="rId10"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68451E6F"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r w:rsidRPr="00EA4589">
        <w:rPr>
          <w:szCs w:val="22"/>
        </w:rPr>
        <w:t>Xiaofei WANG (InterDigital)</w:t>
      </w:r>
    </w:p>
    <w:p w14:paraId="00B09526" w14:textId="057221CC" w:rsidR="00EA4589" w:rsidRPr="002B51E9" w:rsidRDefault="006F3D9B" w:rsidP="00EA4589">
      <w:pPr>
        <w:numPr>
          <w:ilvl w:val="2"/>
          <w:numId w:val="1"/>
        </w:numPr>
        <w:rPr>
          <w:szCs w:val="22"/>
        </w:rPr>
      </w:pPr>
      <w:hyperlink r:id="rId11"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r w:rsidRPr="00E11844">
        <w:rPr>
          <w:szCs w:val="22"/>
        </w:rPr>
        <w:t>Xiaofei WANG (InterDigital)</w:t>
      </w:r>
    </w:p>
    <w:p w14:paraId="1EB7C0FE" w14:textId="195F620A" w:rsidR="00E11844" w:rsidRDefault="006F3D9B" w:rsidP="00E11844">
      <w:pPr>
        <w:numPr>
          <w:ilvl w:val="2"/>
          <w:numId w:val="1"/>
        </w:numPr>
        <w:rPr>
          <w:szCs w:val="22"/>
        </w:rPr>
      </w:pPr>
      <w:hyperlink r:id="rId12"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3"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t>No objection – Mark Ready for Motion</w:t>
      </w:r>
    </w:p>
    <w:p w14:paraId="5FF435E9" w14:textId="54378F20" w:rsidR="00C04A29" w:rsidRPr="00C04A29" w:rsidRDefault="00C04A29" w:rsidP="00C04A29">
      <w:pPr>
        <w:numPr>
          <w:ilvl w:val="1"/>
          <w:numId w:val="1"/>
        </w:numPr>
        <w:rPr>
          <w:szCs w:val="22"/>
        </w:rPr>
      </w:pPr>
      <w:r w:rsidRPr="00FF558F">
        <w:rPr>
          <w:b/>
          <w:bCs/>
          <w:szCs w:val="22"/>
        </w:rPr>
        <w:lastRenderedPageBreak/>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6F3D9B" w:rsidP="00C04A29">
      <w:pPr>
        <w:numPr>
          <w:ilvl w:val="2"/>
          <w:numId w:val="1"/>
        </w:numPr>
        <w:rPr>
          <w:szCs w:val="22"/>
        </w:rPr>
      </w:pPr>
      <w:hyperlink r:id="rId14"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2C71C75A" w:rsidR="00B0159E" w:rsidRDefault="00FF558F" w:rsidP="00C04A29">
      <w:pPr>
        <w:numPr>
          <w:ilvl w:val="3"/>
          <w:numId w:val="1"/>
        </w:numPr>
        <w:rPr>
          <w:szCs w:val="22"/>
        </w:rPr>
      </w:pPr>
      <w:r>
        <w:rPr>
          <w:szCs w:val="22"/>
        </w:rPr>
        <w:t xml:space="preserve"> Proposed Resolution CID 2352: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(Comscope/Ruckus)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6F3D9B" w:rsidP="00D102B5">
      <w:pPr>
        <w:numPr>
          <w:ilvl w:val="3"/>
          <w:numId w:val="1"/>
        </w:numPr>
        <w:rPr>
          <w:szCs w:val="22"/>
        </w:rPr>
      </w:pPr>
      <w:hyperlink r:id="rId15"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t xml:space="preserve"> Review proposed change.</w:t>
      </w:r>
    </w:p>
    <w:p w14:paraId="56274079" w14:textId="77777777" w:rsidR="00390D0C" w:rsidRDefault="00390D0C" w:rsidP="00390D0C">
      <w:pPr>
        <w:numPr>
          <w:ilvl w:val="3"/>
          <w:numId w:val="1"/>
        </w:numPr>
        <w:rPr>
          <w:szCs w:val="22"/>
        </w:rPr>
      </w:pPr>
      <w:r>
        <w:rPr>
          <w:szCs w:val="22"/>
        </w:rPr>
        <w:lastRenderedPageBreak/>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r w:rsidRPr="004E79A1">
        <w:rPr>
          <w:b/>
          <w:bCs/>
          <w:szCs w:val="22"/>
        </w:rPr>
        <w:lastRenderedPageBreak/>
        <w:t>TGme (REVme)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Lu, Liuming</w:t>
            </w:r>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Guangdong OPPO Mobile Telecommunications Corp.,Ltd</w:t>
            </w:r>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r>
              <w:rPr>
                <w:rFonts w:ascii="Calibri" w:hAnsi="Calibri" w:cs="Calibri"/>
                <w:color w:val="000000"/>
                <w:szCs w:val="22"/>
              </w:rPr>
              <w:t>InterDigital,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6"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2756BD16"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BF0430" w:rsidRPr="004E79A1">
        <w:rPr>
          <w:szCs w:val="22"/>
        </w:rPr>
        <w:t>6</w:t>
      </w:r>
      <w:r w:rsidRPr="004E79A1">
        <w:rPr>
          <w:szCs w:val="22"/>
        </w:rPr>
        <w:t>:</w:t>
      </w:r>
    </w:p>
    <w:p w14:paraId="33844B7D" w14:textId="26DA55BB" w:rsidR="00ED2354" w:rsidRPr="004E79A1" w:rsidRDefault="006F3D9B" w:rsidP="00ED2354">
      <w:pPr>
        <w:numPr>
          <w:ilvl w:val="2"/>
          <w:numId w:val="1"/>
        </w:numPr>
        <w:rPr>
          <w:szCs w:val="22"/>
        </w:rPr>
      </w:pPr>
      <w:hyperlink r:id="rId17" w:history="1">
        <w:r w:rsidR="00BF0430" w:rsidRPr="004E79A1">
          <w:rPr>
            <w:rStyle w:val="Hyperlink"/>
            <w:szCs w:val="22"/>
          </w:rPr>
          <w:t>https://mentor.ieee.org/802.11/dcn/22/11-22-0808-06-000m-may-july-teleconference-agenda.docx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6F3D9B" w:rsidP="00116AC2">
      <w:pPr>
        <w:numPr>
          <w:ilvl w:val="2"/>
          <w:numId w:val="1"/>
        </w:numPr>
        <w:rPr>
          <w:szCs w:val="22"/>
        </w:rPr>
      </w:pPr>
      <w:hyperlink r:id="rId18"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w:t>
      </w:r>
      <w:r w:rsidR="003076A0" w:rsidRPr="004E79A1">
        <w:rPr>
          <w:szCs w:val="22"/>
          <w:highlight w:val="green"/>
        </w:rPr>
        <w:t>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REVISED (GEN: 2022-06-06 14:17:23Z)</w:t>
      </w:r>
      <w:r w:rsidR="008C76CE" w:rsidRPr="004E79A1">
        <w:rPr>
          <w:szCs w:val="22"/>
        </w:rPr>
        <w:t xml:space="preserve"> </w:t>
      </w:r>
      <w:r w:rsidRPr="004E79A1">
        <w:rPr>
          <w:szCs w:val="22"/>
        </w:rPr>
        <w:t xml:space="preserve">– Incorporate the changes in 11-22/765r2: </w:t>
      </w:r>
    </w:p>
    <w:p w14:paraId="027AE26D" w14:textId="6BD6C662" w:rsidR="00B16AD8" w:rsidRPr="004E79A1" w:rsidRDefault="00B16AD8" w:rsidP="00B16AD8">
      <w:pPr>
        <w:ind w:left="2880"/>
        <w:rPr>
          <w:szCs w:val="22"/>
        </w:rPr>
      </w:pPr>
      <w:hyperlink r:id="rId19" w:history="1">
        <w:r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 xml:space="preserve">Pro-Tem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2C0B9A" w:rsidP="002C0B9A">
      <w:pPr>
        <w:numPr>
          <w:ilvl w:val="2"/>
          <w:numId w:val="1"/>
        </w:numPr>
        <w:rPr>
          <w:szCs w:val="22"/>
        </w:rPr>
      </w:pPr>
      <w:hyperlink r:id="rId20" w:history="1">
        <w:r w:rsidRPr="004E79A1">
          <w:rPr>
            <w:rStyle w:val="Hyperlink"/>
            <w:szCs w:val="22"/>
          </w:rPr>
          <w:t>https://mentor.ieee.org/802.11/dcn/22/11-22-0839-00-000m-tgme-lb258-misc-gen-comment-resolutions.docx</w:t>
        </w:r>
      </w:hyperlink>
      <w:r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 xml:space="preserve">Proposed Resolution: </w:t>
      </w:r>
      <w:r w:rsidRPr="004E79A1">
        <w:rPr>
          <w:szCs w:val="22"/>
        </w:rPr>
        <w:t>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xml:space="preserve">: </w:t>
      </w:r>
      <w:r w:rsidR="00484D9C" w:rsidRPr="004E79A1">
        <w:rPr>
          <w:szCs w:val="22"/>
        </w:rPr>
        <w:t>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REVISED</w:t>
      </w:r>
      <w:r w:rsidR="00F11F1D" w:rsidRPr="00F11F1D">
        <w:rPr>
          <w:szCs w:val="22"/>
        </w:rPr>
        <w:t xml:space="preserve">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Proposed Resolution:</w:t>
      </w:r>
      <w:r w:rsidRPr="004E79A1">
        <w:rPr>
          <w:szCs w:val="22"/>
        </w:rPr>
        <w:t xml:space="preserve"> </w:t>
      </w:r>
      <w:r w:rsidR="00D71D43" w:rsidRPr="004E79A1">
        <w:rPr>
          <w:szCs w:val="22"/>
        </w:rPr>
        <w:t xml:space="preserve">REJECTED (GEN: 2022-06-06 14:33:44Z). The convention used in this specification is consistent with the IEEE Standards Style Manual, see </w:t>
      </w:r>
      <w:hyperlink r:id="rId21"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“direct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“direct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w:t>
      </w:r>
      <w:r w:rsidRPr="004E79A1">
        <w:rPr>
          <w:szCs w:val="22"/>
        </w:rPr>
        <w:t>Review Comment</w:t>
      </w:r>
    </w:p>
    <w:p w14:paraId="635F7366" w14:textId="3A74916D" w:rsidR="00DE08C2" w:rsidRPr="004E79A1" w:rsidRDefault="00DE08C2" w:rsidP="00DE08C2">
      <w:pPr>
        <w:numPr>
          <w:ilvl w:val="3"/>
          <w:numId w:val="1"/>
        </w:numPr>
        <w:rPr>
          <w:szCs w:val="22"/>
        </w:rPr>
      </w:pPr>
      <w:r w:rsidRPr="004E79A1">
        <w:rPr>
          <w:szCs w:val="22"/>
        </w:rPr>
        <w:t xml:space="preserve"> </w:t>
      </w:r>
      <w:r w:rsidRPr="004E79A1">
        <w:rPr>
          <w:szCs w:val="22"/>
        </w:rPr>
        <w:t>Review proposed change.</w:t>
      </w:r>
    </w:p>
    <w:p w14:paraId="5FDB0311" w14:textId="6A8CE686" w:rsidR="00DE08C2" w:rsidRPr="004E79A1" w:rsidRDefault="00DE08C2" w:rsidP="00DE08C2">
      <w:pPr>
        <w:numPr>
          <w:ilvl w:val="3"/>
          <w:numId w:val="1"/>
        </w:numPr>
        <w:rPr>
          <w:szCs w:val="22"/>
        </w:rPr>
      </w:pPr>
      <w:r w:rsidRPr="004E79A1">
        <w:rPr>
          <w:szCs w:val="22"/>
        </w:rPr>
        <w:t xml:space="preserve"> </w:t>
      </w:r>
      <w:r w:rsidRPr="004E79A1">
        <w:rPr>
          <w:szCs w:val="22"/>
        </w:rPr>
        <w:t>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w:t>
      </w:r>
      <w:r w:rsidRPr="004E79A1">
        <w:rPr>
          <w:szCs w:val="22"/>
        </w:rPr>
        <w:t>Proposed Resolution:</w:t>
      </w:r>
    </w:p>
    <w:p w14:paraId="5EB262CA" w14:textId="589EBF4A" w:rsidR="00DE08C2" w:rsidRPr="004E79A1" w:rsidRDefault="00DE08C2" w:rsidP="004E79A1">
      <w:pPr>
        <w:numPr>
          <w:ilvl w:val="3"/>
          <w:numId w:val="1"/>
        </w:numPr>
        <w:rPr>
          <w:szCs w:val="22"/>
        </w:rPr>
      </w:pPr>
      <w:r w:rsidRPr="004E79A1">
        <w:rPr>
          <w:szCs w:val="22"/>
        </w:rPr>
        <w:t xml:space="preserve"> </w:t>
      </w:r>
      <w:r w:rsidRPr="004E79A1">
        <w:rPr>
          <w:szCs w:val="22"/>
        </w:rPr>
        <w:t>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“trigger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“trigger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2"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Removal of TKIP and WEP were considered in REVmd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strawpolls in    the direction for the resolution. The strawpolls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0D7F2F" w:rsidP="0069266D">
      <w:pPr>
        <w:numPr>
          <w:ilvl w:val="2"/>
          <w:numId w:val="1"/>
        </w:numPr>
        <w:rPr>
          <w:szCs w:val="22"/>
        </w:rPr>
      </w:pPr>
      <w:hyperlink r:id="rId23" w:history="1">
        <w:r w:rsidRPr="004E79A1">
          <w:rPr>
            <w:rStyle w:val="Hyperlink"/>
            <w:szCs w:val="22"/>
          </w:rPr>
          <w:t>https://mentor.ieee.org/802.11/dcn/22/11-22-0067-11-000m-gen-adhoc-revme-wg-lb258-comments.xlsx</w:t>
        </w:r>
      </w:hyperlink>
      <w:r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(e.g.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C: I think this comment should be rejected. Any change should occur when the regulatory bodies change their rules. For now, it’s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C: I’m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 xml:space="preserve">"peer-to-peer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 ) Change the definition of direct link to cover an IBSS.</w:t>
      </w:r>
      <w:r w:rsidRPr="00BA746B">
        <w:cr/>
        <w:t>At the cited location, change</w:t>
      </w:r>
      <w:r w:rsidRPr="00BA746B">
        <w:cr/>
        <w:t>“direct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“direct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REJECTED (GEN: 2022-06-06 15:30:14Z) - The existing definition is not incorrect, and the proposed change does not address the commenters stated concern. The TG discussed the issue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C: I think the best resolution will be reject, although we don’t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51C94AD6" w:rsidR="00060965" w:rsidRPr="00A96485" w:rsidRDefault="00A96485" w:rsidP="00193EF2">
      <w:pPr>
        <w:numPr>
          <w:ilvl w:val="1"/>
          <w:numId w:val="1"/>
        </w:numPr>
        <w:rPr>
          <w:b/>
          <w:bCs/>
          <w:szCs w:val="22"/>
        </w:rPr>
      </w:pPr>
      <w:r w:rsidRPr="00A96485">
        <w:rPr>
          <w:b/>
          <w:bCs/>
          <w:szCs w:val="22"/>
        </w:rPr>
        <w:t>Adjourned at 12:00pm ET</w:t>
      </w:r>
    </w:p>
    <w:p w14:paraId="3248D5AD" w14:textId="77777777" w:rsidR="00A96485" w:rsidRPr="004E79A1" w:rsidRDefault="00A96485" w:rsidP="00A96485">
      <w:pPr>
        <w:ind w:left="1080"/>
        <w:rPr>
          <w:szCs w:val="22"/>
        </w:rPr>
      </w:pPr>
    </w:p>
    <w:p w14:paraId="2E94E814" w14:textId="77777777" w:rsidR="00060965" w:rsidRDefault="00060965" w:rsidP="00A96485">
      <w:pPr>
        <w:ind w:left="360"/>
        <w:rPr>
          <w:szCs w:val="22"/>
        </w:rPr>
      </w:pPr>
    </w:p>
    <w:p w14:paraId="7CE5E170" w14:textId="72A01621" w:rsidR="002B51E9" w:rsidRDefault="002B51E9" w:rsidP="009738D2">
      <w:pPr>
        <w:ind w:left="1080"/>
        <w:rPr>
          <w:szCs w:val="22"/>
        </w:rPr>
      </w:pPr>
    </w:p>
    <w:p w14:paraId="73992A71" w14:textId="07A54575" w:rsidR="00CA09B2" w:rsidRDefault="00CA09B2"/>
    <w:p w14:paraId="55FE1694" w14:textId="77777777" w:rsidR="00CA09B2" w:rsidRDefault="00CA09B2"/>
    <w:p w14:paraId="0FB50A67" w14:textId="77777777" w:rsidR="00CA09B2" w:rsidRDefault="00CA09B2">
      <w:pPr>
        <w:rPr>
          <w:b/>
          <w:sz w:val="24"/>
        </w:rPr>
      </w:pPr>
      <w:r>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5AD748CD" w:rsidR="005C01B7" w:rsidRDefault="006F3D9B" w:rsidP="00D102B5">
      <w:pPr>
        <w:numPr>
          <w:ilvl w:val="0"/>
          <w:numId w:val="4"/>
        </w:numPr>
        <w:rPr>
          <w:rStyle w:val="Hyperlink"/>
        </w:rPr>
      </w:pPr>
      <w:hyperlink r:id="rId24" w:history="1">
        <w:r w:rsidR="005C01B7" w:rsidRPr="00E346AA">
          <w:rPr>
            <w:rStyle w:val="Hyperlink"/>
          </w:rPr>
          <w:t>https://mentor.ieee.org/802.11/dcn/22/11-22-0593-00-0000-2nd-vice-chair-report-may-2022.pptx</w:t>
        </w:r>
      </w:hyperlink>
    </w:p>
    <w:p w14:paraId="1010C7F4" w14:textId="5945833B" w:rsidR="005C01B7" w:rsidRDefault="006F3D9B" w:rsidP="00D102B5">
      <w:pPr>
        <w:numPr>
          <w:ilvl w:val="0"/>
          <w:numId w:val="4"/>
        </w:numPr>
      </w:pPr>
      <w:hyperlink r:id="rId25" w:history="1">
        <w:r w:rsidR="005C01B7" w:rsidRPr="00143673">
          <w:rPr>
            <w:rStyle w:val="Hyperlink"/>
          </w:rPr>
          <w:t>https://mentor.ieee.org/802.11/dcn/22/11-22-0808-03-000m-may-july-teleconference-agenda.docx</w:t>
        </w:r>
      </w:hyperlink>
    </w:p>
    <w:p w14:paraId="1938D83C" w14:textId="1B17AE30" w:rsidR="005C01B7" w:rsidRDefault="006F3D9B" w:rsidP="00D102B5">
      <w:pPr>
        <w:numPr>
          <w:ilvl w:val="0"/>
          <w:numId w:val="4"/>
        </w:numPr>
        <w:rPr>
          <w:szCs w:val="22"/>
        </w:rPr>
      </w:pPr>
      <w:hyperlink r:id="rId26" w:history="1">
        <w:r w:rsidR="005C01B7" w:rsidRPr="00143673">
          <w:rPr>
            <w:rStyle w:val="Hyperlink"/>
            <w:szCs w:val="22"/>
          </w:rPr>
          <w:t>https://mentor.ieee.org/802.11/dcn/22/11-22-0528-01-000m-resolution-for-cids-1024-and-1113.docx</w:t>
        </w:r>
      </w:hyperlink>
    </w:p>
    <w:p w14:paraId="76821690" w14:textId="159BC05C" w:rsidR="005C01B7" w:rsidRDefault="006F3D9B" w:rsidP="00D102B5">
      <w:pPr>
        <w:numPr>
          <w:ilvl w:val="0"/>
          <w:numId w:val="4"/>
        </w:numPr>
        <w:rPr>
          <w:szCs w:val="22"/>
        </w:rPr>
      </w:pPr>
      <w:hyperlink r:id="rId27" w:history="1">
        <w:r w:rsidR="005C01B7" w:rsidRPr="00143673">
          <w:rPr>
            <w:rStyle w:val="Hyperlink"/>
            <w:szCs w:val="22"/>
          </w:rPr>
          <w:t>https://mentor.ieee.org/802.11/dcn/22/11-22-0706-01-000m-lb258-resolution-for-cid-2349.docx</w:t>
        </w:r>
      </w:hyperlink>
    </w:p>
    <w:p w14:paraId="132F3A81" w14:textId="04A65832" w:rsidR="005C01B7" w:rsidRDefault="006F3D9B" w:rsidP="00D102B5">
      <w:pPr>
        <w:numPr>
          <w:ilvl w:val="0"/>
          <w:numId w:val="4"/>
        </w:numPr>
        <w:rPr>
          <w:szCs w:val="22"/>
        </w:rPr>
      </w:pPr>
      <w:hyperlink r:id="rId28" w:history="1">
        <w:r w:rsidR="00D102B5" w:rsidRPr="00143673">
          <w:rPr>
            <w:rStyle w:val="Hyperlink"/>
            <w:szCs w:val="22"/>
          </w:rPr>
          <w:t>https://mentor.ieee.org/802.11/dcn/22/11-22-0775-00-000m-cr-for-cid-2347.docx</w:t>
        </w:r>
      </w:hyperlink>
    </w:p>
    <w:p w14:paraId="7C922118" w14:textId="04D36403" w:rsidR="00D102B5" w:rsidRDefault="006F3D9B" w:rsidP="00D102B5">
      <w:pPr>
        <w:numPr>
          <w:ilvl w:val="0"/>
          <w:numId w:val="4"/>
        </w:numPr>
        <w:rPr>
          <w:szCs w:val="22"/>
        </w:rPr>
      </w:pPr>
      <w:hyperlink r:id="rId29" w:history="1">
        <w:r w:rsidR="00D102B5" w:rsidRPr="00143673">
          <w:rPr>
            <w:rStyle w:val="Hyperlink"/>
            <w:szCs w:val="22"/>
          </w:rPr>
          <w:t>https://mentor.ieee.org/802.11/dcn/22/11-22-0707-00-000m-cr-for-cid-2345.docx</w:t>
        </w:r>
      </w:hyperlink>
    </w:p>
    <w:p w14:paraId="3CB07FA9" w14:textId="4788B528" w:rsidR="00D102B5" w:rsidRDefault="006F3D9B" w:rsidP="00D102B5">
      <w:pPr>
        <w:numPr>
          <w:ilvl w:val="0"/>
          <w:numId w:val="4"/>
        </w:numPr>
        <w:rPr>
          <w:szCs w:val="22"/>
        </w:rPr>
      </w:pPr>
      <w:hyperlink r:id="rId30" w:history="1">
        <w:r w:rsidR="00D102B5" w:rsidRPr="00143673">
          <w:rPr>
            <w:rStyle w:val="Hyperlink"/>
            <w:szCs w:val="22"/>
          </w:rPr>
          <w:t>https://mentor.ieee.org/802.11/dcn/22/11-22-0707-01-000m-cr-for-cid-2345.docx</w:t>
        </w:r>
      </w:hyperlink>
    </w:p>
    <w:p w14:paraId="629A99F8" w14:textId="5A3C3482" w:rsidR="00D102B5" w:rsidRDefault="006F3D9B" w:rsidP="00D102B5">
      <w:pPr>
        <w:numPr>
          <w:ilvl w:val="0"/>
          <w:numId w:val="4"/>
        </w:numPr>
        <w:rPr>
          <w:szCs w:val="22"/>
        </w:rPr>
      </w:pPr>
      <w:hyperlink r:id="rId31" w:history="1">
        <w:r w:rsidR="00D102B5" w:rsidRPr="00143673">
          <w:rPr>
            <w:rStyle w:val="Hyperlink"/>
            <w:szCs w:val="22"/>
          </w:rPr>
          <w:t>https://mentor.ieee.org/802.11/dcn/22/11-22-0691-00-000m-resolution-for-2353-2362-2363.docx</w:t>
        </w:r>
      </w:hyperlink>
    </w:p>
    <w:p w14:paraId="52B73E4F" w14:textId="7A153F8A" w:rsidR="00D102B5" w:rsidRDefault="006F3D9B" w:rsidP="00D102B5">
      <w:pPr>
        <w:numPr>
          <w:ilvl w:val="0"/>
          <w:numId w:val="4"/>
        </w:numPr>
        <w:rPr>
          <w:szCs w:val="22"/>
        </w:rPr>
      </w:pPr>
      <w:hyperlink r:id="rId32"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 xml:space="preserve">June </w:t>
      </w:r>
      <w:r w:rsidRPr="00CE1A77">
        <w:rPr>
          <w:b/>
          <w:bCs/>
        </w:rPr>
        <w:t>6</w:t>
      </w:r>
      <w:r w:rsidRPr="00CE1A77">
        <w:rPr>
          <w:b/>
          <w:bCs/>
        </w:rPr>
        <w:t>, 2022:</w:t>
      </w:r>
    </w:p>
    <w:p w14:paraId="335CDB6B" w14:textId="6D33CFFD" w:rsidR="00CE1A77" w:rsidRDefault="00CE1A77" w:rsidP="00CE1A77">
      <w:pPr>
        <w:pStyle w:val="ListParagraph"/>
        <w:ind w:left="360"/>
        <w:rPr>
          <w:rStyle w:val="Hyperlink"/>
          <w:szCs w:val="22"/>
        </w:rPr>
      </w:pPr>
      <w:hyperlink r:id="rId33" w:history="1">
        <w:r w:rsidRPr="004E79A1">
          <w:rPr>
            <w:rStyle w:val="Hyperlink"/>
            <w:szCs w:val="22"/>
          </w:rPr>
          <w:t>https://mentor.ieee.org/802.11/dcn/22/11-22-0593-00-0000-2nd-vice-chair-report-may-2022.pptx</w:t>
        </w:r>
      </w:hyperlink>
    </w:p>
    <w:p w14:paraId="77BF164A" w14:textId="346FD60E" w:rsidR="00CE1A77" w:rsidRDefault="00CE1A77" w:rsidP="00CE1A77">
      <w:pPr>
        <w:pStyle w:val="ListParagraph"/>
        <w:ind w:left="360"/>
        <w:rPr>
          <w:rStyle w:val="Hyperlink"/>
          <w:szCs w:val="22"/>
        </w:rPr>
      </w:pPr>
      <w:hyperlink r:id="rId34" w:history="1">
        <w:r w:rsidRPr="004E79A1">
          <w:rPr>
            <w:rStyle w:val="Hyperlink"/>
            <w:szCs w:val="22"/>
          </w:rPr>
          <w:t>https://mentor.ieee.org/802.11/dcn/22/11-22-0808-06-000m-may-july-teleconference-agenda.docx</w:t>
        </w:r>
      </w:hyperlink>
    </w:p>
    <w:p w14:paraId="4173AEFA" w14:textId="4AD3D618" w:rsidR="00CE1A77" w:rsidRDefault="00CE1A77" w:rsidP="00CE1A77">
      <w:pPr>
        <w:pStyle w:val="ListParagraph"/>
        <w:ind w:left="360"/>
        <w:rPr>
          <w:rStyle w:val="Hyperlink"/>
          <w:szCs w:val="22"/>
        </w:rPr>
      </w:pPr>
      <w:hyperlink r:id="rId35" w:history="1">
        <w:r w:rsidRPr="004E79A1">
          <w:rPr>
            <w:rStyle w:val="Hyperlink"/>
            <w:szCs w:val="22"/>
          </w:rPr>
          <w:t>https://mentor.ieee.org/802.11/dcn/22/11-22-0765-01-000m-comment-resolution-for-cids-1231-2310.docx</w:t>
        </w:r>
      </w:hyperlink>
    </w:p>
    <w:p w14:paraId="3BC938A7" w14:textId="64CFC5A4" w:rsidR="00640034" w:rsidRDefault="00640034" w:rsidP="00CE1A77">
      <w:pPr>
        <w:pStyle w:val="ListParagraph"/>
        <w:ind w:left="360"/>
        <w:rPr>
          <w:szCs w:val="22"/>
        </w:rPr>
      </w:pPr>
      <w:hyperlink r:id="rId36" w:history="1">
        <w:r w:rsidRPr="004E79A1">
          <w:rPr>
            <w:rStyle w:val="Hyperlink"/>
            <w:szCs w:val="22"/>
          </w:rPr>
          <w:t>https://mentor.ieee.org/802.11/dcn/22/11-22-0765-02-000m-comment-resolution-for-cids-1231-2310.docx</w:t>
        </w:r>
      </w:hyperlink>
    </w:p>
    <w:p w14:paraId="11DE2263" w14:textId="6425E831" w:rsidR="00640034" w:rsidRDefault="0039585E" w:rsidP="00CE1A77">
      <w:pPr>
        <w:pStyle w:val="ListParagraph"/>
        <w:ind w:left="360"/>
        <w:rPr>
          <w:rStyle w:val="Hyperlink"/>
          <w:szCs w:val="22"/>
        </w:rPr>
      </w:pPr>
      <w:hyperlink r:id="rId37" w:history="1">
        <w:r w:rsidRPr="004E79A1">
          <w:rPr>
            <w:rStyle w:val="Hyperlink"/>
            <w:szCs w:val="22"/>
          </w:rPr>
          <w:t>https://mentor.ieee.org/802.11/dcn/22/11-22-0839-00-000m-tgme-lb258-misc-gen-comment-resolutions.docx</w:t>
        </w:r>
      </w:hyperlink>
    </w:p>
    <w:p w14:paraId="1D497E5D" w14:textId="59A40FB3" w:rsidR="0039585E" w:rsidRDefault="005E013B" w:rsidP="00CE1A77">
      <w:pPr>
        <w:pStyle w:val="ListParagraph"/>
        <w:ind w:left="360"/>
        <w:rPr>
          <w:szCs w:val="22"/>
        </w:rPr>
      </w:pPr>
      <w:hyperlink r:id="rId38" w:history="1">
        <w:r w:rsidRPr="004E79A1">
          <w:rPr>
            <w:rStyle w:val="Hyperlink"/>
            <w:szCs w:val="22"/>
          </w:rPr>
          <w:t>https://mentor.ieee.org/802.11/dcn/18/11-18-0652-01-000m-resolution-for-wep-tkip-removal-cids.docx</w:t>
        </w:r>
      </w:hyperlink>
    </w:p>
    <w:p w14:paraId="05FB1F45" w14:textId="45EC90B9" w:rsidR="005E013B" w:rsidRDefault="005E013B" w:rsidP="00CE1A77">
      <w:pPr>
        <w:pStyle w:val="ListParagraph"/>
        <w:ind w:left="360"/>
        <w:rPr>
          <w:szCs w:val="22"/>
        </w:rPr>
      </w:pPr>
      <w:hyperlink r:id="rId39" w:history="1">
        <w:r w:rsidRPr="004E79A1">
          <w:rPr>
            <w:rStyle w:val="Hyperlink"/>
            <w:szCs w:val="22"/>
          </w:rPr>
          <w:t>https://mentor.ieee.org/802.11/dcn/22/11-22-0067-11-000m-gen-adhoc-revme-wg-lb258-comments.xlsx</w:t>
        </w:r>
      </w:hyperlink>
    </w:p>
    <w:p w14:paraId="1F78DE1A" w14:textId="77777777" w:rsidR="005E013B" w:rsidRPr="00CE1A77" w:rsidRDefault="005E013B" w:rsidP="00CE1A77">
      <w:pPr>
        <w:pStyle w:val="ListParagraph"/>
        <w:ind w:left="360"/>
        <w:rPr>
          <w:b/>
          <w:bCs/>
        </w:rPr>
      </w:pPr>
    </w:p>
    <w:p w14:paraId="1708464D" w14:textId="77777777" w:rsidR="00CE1A77" w:rsidRDefault="00CE1A77"/>
    <w:sectPr w:rsidR="00CE1A77">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59E6" w14:textId="77777777" w:rsidR="002B51E9" w:rsidRDefault="002B51E9">
      <w:r>
        <w:separator/>
      </w:r>
    </w:p>
  </w:endnote>
  <w:endnote w:type="continuationSeparator" w:id="0">
    <w:p w14:paraId="79E17B52" w14:textId="77777777" w:rsidR="002B51E9" w:rsidRDefault="002B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5A01EA">
    <w:pPr>
      <w:pStyle w:val="Footer"/>
      <w:tabs>
        <w:tab w:val="clear" w:pos="6480"/>
        <w:tab w:val="center" w:pos="4680"/>
        <w:tab w:val="right" w:pos="9360"/>
      </w:tabs>
    </w:pPr>
    <w:fldSimple w:instr=" SUBJECT  \* MERGEFORMAT ">
      <w:r w:rsidR="004946E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946EC">
        <w:t>Jon Rosdahl, Qualcomm</w:t>
      </w:r>
    </w:fldSimple>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16DA" w14:textId="77777777" w:rsidR="002B51E9" w:rsidRDefault="002B51E9">
      <w:r>
        <w:separator/>
      </w:r>
    </w:p>
  </w:footnote>
  <w:footnote w:type="continuationSeparator" w:id="0">
    <w:p w14:paraId="7BC58E6A" w14:textId="77777777" w:rsidR="002B51E9" w:rsidRDefault="002B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3F9EF1A9" w:rsidR="0029020B" w:rsidRDefault="005A01EA">
    <w:pPr>
      <w:pStyle w:val="Header"/>
      <w:tabs>
        <w:tab w:val="clear" w:pos="6480"/>
        <w:tab w:val="center" w:pos="4680"/>
        <w:tab w:val="right" w:pos="9360"/>
      </w:tabs>
    </w:pPr>
    <w:fldSimple w:instr=" KEYWORDS  \* MERGEFORMAT ">
      <w:r w:rsidR="004946EC">
        <w:t>June 2022</w:t>
      </w:r>
    </w:fldSimple>
    <w:r w:rsidR="0029020B">
      <w:tab/>
    </w:r>
    <w:r w:rsidR="0029020B">
      <w:tab/>
    </w:r>
    <w:fldSimple w:instr=" TITLE  \* MERGEFORMAT ">
      <w:r w:rsidR="00584205">
        <w:t>doc.: IEEE 802.11-22/0846r1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5033097">
    <w:abstractNumId w:val="8"/>
  </w:num>
  <w:num w:numId="2" w16cid:durableId="2111584881">
    <w:abstractNumId w:val="1"/>
  </w:num>
  <w:num w:numId="3" w16cid:durableId="1850679599">
    <w:abstractNumId w:val="6"/>
  </w:num>
  <w:num w:numId="4" w16cid:durableId="1132401422">
    <w:abstractNumId w:val="3"/>
  </w:num>
  <w:num w:numId="5" w16cid:durableId="270167930">
    <w:abstractNumId w:val="2"/>
  </w:num>
  <w:num w:numId="6" w16cid:durableId="1437991212">
    <w:abstractNumId w:val="5"/>
  </w:num>
  <w:num w:numId="7" w16cid:durableId="1680155801">
    <w:abstractNumId w:val="7"/>
  </w:num>
  <w:num w:numId="8" w16cid:durableId="853543543">
    <w:abstractNumId w:val="4"/>
    <w:lvlOverride w:ilvl="0"/>
    <w:lvlOverride w:ilvl="1"/>
    <w:lvlOverride w:ilvl="2"/>
    <w:lvlOverride w:ilvl="3"/>
    <w:lvlOverride w:ilvl="4"/>
    <w:lvlOverride w:ilvl="5"/>
    <w:lvlOverride w:ilvl="6"/>
    <w:lvlOverride w:ilvl="7"/>
    <w:lvlOverride w:ilvl="8"/>
  </w:num>
  <w:num w:numId="9" w16cid:durableId="1714186274">
    <w:abstractNumId w:val="9"/>
  </w:num>
  <w:num w:numId="10" w16cid:durableId="947738287">
    <w:abstractNumId w:val="0"/>
  </w:num>
  <w:num w:numId="11" w16cid:durableId="1782147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33566"/>
    <w:rsid w:val="000349DC"/>
    <w:rsid w:val="00041955"/>
    <w:rsid w:val="00060965"/>
    <w:rsid w:val="000C4130"/>
    <w:rsid w:val="000D7F2F"/>
    <w:rsid w:val="000E6FBC"/>
    <w:rsid w:val="000F5D2D"/>
    <w:rsid w:val="00111B69"/>
    <w:rsid w:val="0011318A"/>
    <w:rsid w:val="00116AC2"/>
    <w:rsid w:val="00193E7E"/>
    <w:rsid w:val="00193EF2"/>
    <w:rsid w:val="001A2CAF"/>
    <w:rsid w:val="001A4AC6"/>
    <w:rsid w:val="001A5E9E"/>
    <w:rsid w:val="001B484E"/>
    <w:rsid w:val="001C266D"/>
    <w:rsid w:val="001C3D3B"/>
    <w:rsid w:val="001C40D4"/>
    <w:rsid w:val="001D2067"/>
    <w:rsid w:val="001D723B"/>
    <w:rsid w:val="0023303F"/>
    <w:rsid w:val="00234F53"/>
    <w:rsid w:val="002472E8"/>
    <w:rsid w:val="0027528D"/>
    <w:rsid w:val="0029020B"/>
    <w:rsid w:val="002B51E9"/>
    <w:rsid w:val="002C0B9A"/>
    <w:rsid w:val="002D44BE"/>
    <w:rsid w:val="002E41F8"/>
    <w:rsid w:val="0030407E"/>
    <w:rsid w:val="003076A0"/>
    <w:rsid w:val="00322F76"/>
    <w:rsid w:val="003303B7"/>
    <w:rsid w:val="003461C9"/>
    <w:rsid w:val="00361209"/>
    <w:rsid w:val="00365CF9"/>
    <w:rsid w:val="00390D0C"/>
    <w:rsid w:val="0039585E"/>
    <w:rsid w:val="003A4484"/>
    <w:rsid w:val="003C0DC1"/>
    <w:rsid w:val="003E267C"/>
    <w:rsid w:val="00442037"/>
    <w:rsid w:val="0044604E"/>
    <w:rsid w:val="00455577"/>
    <w:rsid w:val="00483820"/>
    <w:rsid w:val="00484D9C"/>
    <w:rsid w:val="00487451"/>
    <w:rsid w:val="004946EC"/>
    <w:rsid w:val="004A0B4E"/>
    <w:rsid w:val="004B064B"/>
    <w:rsid w:val="004B79C3"/>
    <w:rsid w:val="004D513D"/>
    <w:rsid w:val="004E3D57"/>
    <w:rsid w:val="004E79A1"/>
    <w:rsid w:val="0057753D"/>
    <w:rsid w:val="00584205"/>
    <w:rsid w:val="005A01EA"/>
    <w:rsid w:val="005A5F60"/>
    <w:rsid w:val="005A7298"/>
    <w:rsid w:val="005C01B7"/>
    <w:rsid w:val="005C7C3D"/>
    <w:rsid w:val="005D484F"/>
    <w:rsid w:val="005E013B"/>
    <w:rsid w:val="005F1D42"/>
    <w:rsid w:val="0062440B"/>
    <w:rsid w:val="00640034"/>
    <w:rsid w:val="0066309A"/>
    <w:rsid w:val="00670A16"/>
    <w:rsid w:val="00682288"/>
    <w:rsid w:val="0069266D"/>
    <w:rsid w:val="006A1E52"/>
    <w:rsid w:val="006B28CB"/>
    <w:rsid w:val="006C007D"/>
    <w:rsid w:val="006C0727"/>
    <w:rsid w:val="006C65B0"/>
    <w:rsid w:val="006E145F"/>
    <w:rsid w:val="006E4C41"/>
    <w:rsid w:val="006F3D9B"/>
    <w:rsid w:val="006F482D"/>
    <w:rsid w:val="00744130"/>
    <w:rsid w:val="00753B5B"/>
    <w:rsid w:val="00770572"/>
    <w:rsid w:val="00776097"/>
    <w:rsid w:val="00793DAF"/>
    <w:rsid w:val="007954CE"/>
    <w:rsid w:val="007966F4"/>
    <w:rsid w:val="007B06C4"/>
    <w:rsid w:val="007D2C75"/>
    <w:rsid w:val="007D7633"/>
    <w:rsid w:val="0080371F"/>
    <w:rsid w:val="00803E03"/>
    <w:rsid w:val="00874D6D"/>
    <w:rsid w:val="008A0A77"/>
    <w:rsid w:val="008C76CE"/>
    <w:rsid w:val="008F274C"/>
    <w:rsid w:val="009564E7"/>
    <w:rsid w:val="009738D2"/>
    <w:rsid w:val="009A464E"/>
    <w:rsid w:val="009C4A33"/>
    <w:rsid w:val="009C4D23"/>
    <w:rsid w:val="009D5D36"/>
    <w:rsid w:val="009D69A5"/>
    <w:rsid w:val="009E29C2"/>
    <w:rsid w:val="009F2FBC"/>
    <w:rsid w:val="00A0073A"/>
    <w:rsid w:val="00A31F49"/>
    <w:rsid w:val="00A34C00"/>
    <w:rsid w:val="00A34C87"/>
    <w:rsid w:val="00A612AA"/>
    <w:rsid w:val="00A736A7"/>
    <w:rsid w:val="00A91D95"/>
    <w:rsid w:val="00A96485"/>
    <w:rsid w:val="00AA427C"/>
    <w:rsid w:val="00AB3350"/>
    <w:rsid w:val="00AE12F1"/>
    <w:rsid w:val="00B0159E"/>
    <w:rsid w:val="00B12CC2"/>
    <w:rsid w:val="00B16AD8"/>
    <w:rsid w:val="00B23BAF"/>
    <w:rsid w:val="00B66203"/>
    <w:rsid w:val="00BE68C2"/>
    <w:rsid w:val="00BF0430"/>
    <w:rsid w:val="00C03435"/>
    <w:rsid w:val="00C04A29"/>
    <w:rsid w:val="00C93306"/>
    <w:rsid w:val="00C97FC9"/>
    <w:rsid w:val="00CA09B2"/>
    <w:rsid w:val="00CA6B22"/>
    <w:rsid w:val="00CB7D3B"/>
    <w:rsid w:val="00CD22E3"/>
    <w:rsid w:val="00CD7071"/>
    <w:rsid w:val="00CE1A77"/>
    <w:rsid w:val="00D00528"/>
    <w:rsid w:val="00D065C9"/>
    <w:rsid w:val="00D102B5"/>
    <w:rsid w:val="00D138AA"/>
    <w:rsid w:val="00D422ED"/>
    <w:rsid w:val="00D7065A"/>
    <w:rsid w:val="00D70F8B"/>
    <w:rsid w:val="00D71D43"/>
    <w:rsid w:val="00D73FA4"/>
    <w:rsid w:val="00D857C3"/>
    <w:rsid w:val="00D92B41"/>
    <w:rsid w:val="00DC5A7B"/>
    <w:rsid w:val="00DE08C2"/>
    <w:rsid w:val="00E11844"/>
    <w:rsid w:val="00E13A67"/>
    <w:rsid w:val="00EA4589"/>
    <w:rsid w:val="00EC4CD0"/>
    <w:rsid w:val="00ED2354"/>
    <w:rsid w:val="00F01DDE"/>
    <w:rsid w:val="00F11F1D"/>
    <w:rsid w:val="00F20B30"/>
    <w:rsid w:val="00F342FC"/>
    <w:rsid w:val="00F970A9"/>
    <w:rsid w:val="00FB4AF1"/>
    <w:rsid w:val="00FF558F"/>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A7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808-03-000m-may-july-teleconference-agenda.docx" TargetMode="External"/><Relationship Id="rId13" Type="http://schemas.openxmlformats.org/officeDocument/2006/relationships/hyperlink" Target="https://mentor.ieee.org/802.11/dcn/22/11-22-0707-01-000m-cr-for-cid-2345.docx" TargetMode="External"/><Relationship Id="rId18" Type="http://schemas.openxmlformats.org/officeDocument/2006/relationships/hyperlink" Target="https://mentor.ieee.org/802.11/dcn/22/11-22-0765-01-000m-comment-resolution-for-cids-1231-2310.docx" TargetMode="External"/><Relationship Id="rId26" Type="http://schemas.openxmlformats.org/officeDocument/2006/relationships/hyperlink" Target="https://mentor.ieee.org/802.11/dcn/22/11-22-0528-01-000m-resolution-for-cids-1024-and-1113.docx" TargetMode="External"/><Relationship Id="rId39" Type="http://schemas.openxmlformats.org/officeDocument/2006/relationships/hyperlink" Target="https://mentor.ieee.org/802.11/dcn/22/11-22-0067-11-000m-gen-adhoc-revme-wg-lb258-comments.xlsx" TargetMode="External"/><Relationship Id="rId3" Type="http://schemas.openxmlformats.org/officeDocument/2006/relationships/settings" Target="settings.xml"/><Relationship Id="rId21" Type="http://schemas.openxmlformats.org/officeDocument/2006/relationships/hyperlink" Target="https://mentor.ieee.org/myproject/Public/mytools/draft/styleman.pdf" TargetMode="External"/><Relationship Id="rId34" Type="http://schemas.openxmlformats.org/officeDocument/2006/relationships/hyperlink" Target="https://mentor.ieee.org/802.11/dcn/22/11-22-0808-06-000m-may-july-teleconference-agenda.docx" TargetMode="External"/><Relationship Id="rId42" Type="http://schemas.openxmlformats.org/officeDocument/2006/relationships/fontTable" Target="fontTable.xml"/><Relationship Id="rId7" Type="http://schemas.openxmlformats.org/officeDocument/2006/relationships/hyperlink" Target="https://mentor.ieee.org/802.11/dcn/22/11-22-0593-00-0000-2nd-vice-chair-report-may-2022.pptx" TargetMode="External"/><Relationship Id="rId12" Type="http://schemas.openxmlformats.org/officeDocument/2006/relationships/hyperlink" Target="https://mentor.ieee.org/802.11/dcn/22/11-22-0707-00-000m-cr-for-cid-2345.docx" TargetMode="External"/><Relationship Id="rId17" Type="http://schemas.openxmlformats.org/officeDocument/2006/relationships/hyperlink" Target="https://mentor.ieee.org/802.11/dcn/22/11-22-0808-06-000m-may-july-teleconference-agenda.docx" TargetMode="External"/><Relationship Id="rId25" Type="http://schemas.openxmlformats.org/officeDocument/2006/relationships/hyperlink" Target="https://mentor.ieee.org/802.11/dcn/22/11-22-0808-03-000m-may-july-teleconference-agenda.docx" TargetMode="External"/><Relationship Id="rId33" Type="http://schemas.openxmlformats.org/officeDocument/2006/relationships/hyperlink" Target="https://mentor.ieee.org/802.11/dcn/22/11-22-0593-00-0000-2nd-vice-chair-report-may-2022.pptx" TargetMode="External"/><Relationship Id="rId38" Type="http://schemas.openxmlformats.org/officeDocument/2006/relationships/hyperlink" Target="https://mentor.ieee.org/802.11/dcn/18/11-18-0652-01-000m-resolution-for-wep-tkip-removal-cids.docx" TargetMode="External"/><Relationship Id="rId2" Type="http://schemas.openxmlformats.org/officeDocument/2006/relationships/styles" Target="styles.xml"/><Relationship Id="rId16" Type="http://schemas.openxmlformats.org/officeDocument/2006/relationships/hyperlink" Target="https://mentor.ieee.org/802.11/dcn/22/11-22-0593-00-0000-2nd-vice-chair-report-may-2022.pptx" TargetMode="External"/><Relationship Id="rId20" Type="http://schemas.openxmlformats.org/officeDocument/2006/relationships/hyperlink" Target="https://mentor.ieee.org/802.11/dcn/22/11-22-0839-00-000m-tgme-lb258-misc-gen-comment-resolutions.docx" TargetMode="External"/><Relationship Id="rId29" Type="http://schemas.openxmlformats.org/officeDocument/2006/relationships/hyperlink" Target="https://mentor.ieee.org/802.11/dcn/22/11-22-0707-00-000m-cr-for-cid-2345.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775-00-000m-cr-for-cid-2347.docx" TargetMode="External"/><Relationship Id="rId24" Type="http://schemas.openxmlformats.org/officeDocument/2006/relationships/hyperlink" Target="https://mentor.ieee.org/802.11/dcn/22/11-22-0593-00-0000-2nd-vice-chair-report-may-2022.pptx" TargetMode="External"/><Relationship Id="rId32" Type="http://schemas.openxmlformats.org/officeDocument/2006/relationships/hyperlink" Target="https://mentor.ieee.org/802.11/dcn/21/11-21-0793-19-000m-revme-mac-comments.xls" TargetMode="External"/><Relationship Id="rId37" Type="http://schemas.openxmlformats.org/officeDocument/2006/relationships/hyperlink" Target="https://mentor.ieee.org/802.11/dcn/22/11-22-0839-00-000m-tgme-lb258-misc-gen-comment-resolutions.doc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793-19-000m-revme-mac-comments.xls" TargetMode="External"/><Relationship Id="rId23" Type="http://schemas.openxmlformats.org/officeDocument/2006/relationships/hyperlink" Target="https://mentor.ieee.org/802.11/dcn/22/11-22-0067-11-000m-gen-adhoc-revme-wg-lb258-comments.xlsx" TargetMode="External"/><Relationship Id="rId28" Type="http://schemas.openxmlformats.org/officeDocument/2006/relationships/hyperlink" Target="https://mentor.ieee.org/802.11/dcn/22/11-22-0775-00-000m-cr-for-cid-2347.docx" TargetMode="External"/><Relationship Id="rId36" Type="http://schemas.openxmlformats.org/officeDocument/2006/relationships/hyperlink" Target="https://mentor.ieee.org/802.11/dcn/22/11-22-0765-02-000m-comment-resolution-for-cids-1231-2310.docx" TargetMode="External"/><Relationship Id="rId10" Type="http://schemas.openxmlformats.org/officeDocument/2006/relationships/hyperlink" Target="https://mentor.ieee.org/802.11/dcn/22/11-22-0706-01-000m-lb258-resolution-for-cid-2349.docx" TargetMode="External"/><Relationship Id="rId19" Type="http://schemas.openxmlformats.org/officeDocument/2006/relationships/hyperlink" Target="https://mentor.ieee.org/802.11/dcn/22/11-22-0765-02-000m-comment-resolution-for-cids-1231-2310.docx" TargetMode="External"/><Relationship Id="rId31" Type="http://schemas.openxmlformats.org/officeDocument/2006/relationships/hyperlink" Target="https://mentor.ieee.org/802.11/dcn/22/11-22-0691-00-000m-resolution-for-2353-2362-2363.docx" TargetMode="External"/><Relationship Id="rId4" Type="http://schemas.openxmlformats.org/officeDocument/2006/relationships/webSettings" Target="webSettings.xml"/><Relationship Id="rId9" Type="http://schemas.openxmlformats.org/officeDocument/2006/relationships/hyperlink" Target="https://mentor.ieee.org/802.11/dcn/22/11-22-0528-01-000m-resolution-for-cids-1024-and-1113.docx" TargetMode="External"/><Relationship Id="rId14" Type="http://schemas.openxmlformats.org/officeDocument/2006/relationships/hyperlink" Target="https://mentor.ieee.org/802.11/dcn/22/11-22-0691-00-000m-resolution-for-2353-2362-2363.docx" TargetMode="External"/><Relationship Id="rId22" Type="http://schemas.openxmlformats.org/officeDocument/2006/relationships/hyperlink" Target="https://mentor.ieee.org/802.11/dcn/18/11-18-0652-01-000m-resolution-for-wep-tkip-removal-cids.docx" TargetMode="External"/><Relationship Id="rId27" Type="http://schemas.openxmlformats.org/officeDocument/2006/relationships/hyperlink" Target="https://mentor.ieee.org/802.11/dcn/22/11-22-0706-01-000m-lb258-resolution-for-cid-2349.docx" TargetMode="External"/><Relationship Id="rId30" Type="http://schemas.openxmlformats.org/officeDocument/2006/relationships/hyperlink" Target="https://mentor.ieee.org/802.11/dcn/22/11-22-0707-01-000m-cr-for-cid-2345.docx" TargetMode="External"/><Relationship Id="rId35" Type="http://schemas.openxmlformats.org/officeDocument/2006/relationships/hyperlink" Target="https://mentor.ieee.org/802.11/dcn/22/11-22-0765-01-000m-comment-resolution-for-cids-1231-2310.docx"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1284</TotalTime>
  <Pages>12</Pages>
  <Words>3036</Words>
  <Characters>21169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doc.: IEEE 802.11-22/0846r1</vt:lpstr>
    </vt:vector>
  </TitlesOfParts>
  <Company>Qualcomm Technologies, Inc.</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802.11-22/0846r1</dc:title>
  <dc:subject>Minutes</dc:subject>
  <dc:creator>Jon Rosdahl</dc:creator>
  <cp:keywords>June 2022</cp:keywords>
  <dc:description>Jon Rosdahl, Qualcomm</dc:description>
  <cp:lastModifiedBy>Jon Rosdahl</cp:lastModifiedBy>
  <cp:revision>114</cp:revision>
  <cp:lastPrinted>1900-01-01T07:00:00Z</cp:lastPrinted>
  <dcterms:created xsi:type="dcterms:W3CDTF">2022-06-04T03:10:00Z</dcterms:created>
  <dcterms:modified xsi:type="dcterms:W3CDTF">2022-06-09T12:27:00Z</dcterms:modified>
</cp:coreProperties>
</file>