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9DCDEA" w:rsidR="008717CE" w:rsidRPr="00183F4C" w:rsidRDefault="00676881" w:rsidP="003F3686">
            <w:pPr>
              <w:pStyle w:val="T2"/>
              <w:rPr>
                <w:lang w:eastAsia="ko-KR"/>
              </w:rPr>
            </w:pPr>
            <w:r>
              <w:rPr>
                <w:lang w:eastAsia="ko-KR"/>
              </w:rPr>
              <w:t xml:space="preserve">CR for CID </w:t>
            </w:r>
            <w:r w:rsidR="008748F3">
              <w:rPr>
                <w:lang w:eastAsia="ko-KR"/>
              </w:rPr>
              <w:t>234</w:t>
            </w:r>
            <w:r w:rsidR="00820C25">
              <w:rPr>
                <w:lang w:eastAsia="ko-KR"/>
              </w:rPr>
              <w:t>7</w:t>
            </w:r>
          </w:p>
        </w:tc>
      </w:tr>
      <w:tr w:rsidR="00DE584F" w:rsidRPr="00183F4C" w14:paraId="2321CEA9" w14:textId="77777777" w:rsidTr="00E37786">
        <w:trPr>
          <w:trHeight w:val="359"/>
          <w:jc w:val="center"/>
        </w:trPr>
        <w:tc>
          <w:tcPr>
            <w:tcW w:w="9576" w:type="dxa"/>
            <w:gridSpan w:val="5"/>
            <w:vAlign w:val="center"/>
          </w:tcPr>
          <w:p w14:paraId="380E9974" w14:textId="2155E6F1"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8748F3">
              <w:rPr>
                <w:b w:val="0"/>
                <w:sz w:val="20"/>
              </w:rPr>
              <w:t>5</w:t>
            </w:r>
            <w:r w:rsidR="005116CB">
              <w:rPr>
                <w:b w:val="0"/>
                <w:sz w:val="20"/>
              </w:rPr>
              <w:t>-</w:t>
            </w:r>
            <w:r w:rsidR="008748F3">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6A544E68"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 xml:space="preserve">CID </w:t>
      </w:r>
      <w:r w:rsidR="00802C57">
        <w:rPr>
          <w:sz w:val="22"/>
          <w:lang w:eastAsia="ko-KR"/>
        </w:rPr>
        <w:t>234</w:t>
      </w:r>
      <w:r w:rsidR="00F91045">
        <w:rPr>
          <w:sz w:val="22"/>
          <w:lang w:eastAsia="ko-KR"/>
        </w:rPr>
        <w:t>7</w:t>
      </w:r>
      <w:r w:rsidR="009972B6">
        <w:rPr>
          <w:sz w:val="22"/>
          <w:lang w:eastAsia="ko-KR"/>
        </w:rPr>
        <w:t xml:space="preserve">.The baseline for this comment resolution document is </w:t>
      </w:r>
      <w:r w:rsidR="005A5E71">
        <w:rPr>
          <w:sz w:val="22"/>
          <w:lang w:eastAsia="ko-KR"/>
        </w:rPr>
        <w:t>802.11</w:t>
      </w:r>
      <w:r w:rsidR="00802C57">
        <w:rPr>
          <w:sz w:val="22"/>
          <w:lang w:eastAsia="ko-KR"/>
        </w:rPr>
        <w:t xml:space="preserve"> RevME</w:t>
      </w:r>
      <w:r w:rsidR="005A5E71">
        <w:rPr>
          <w:sz w:val="22"/>
          <w:lang w:eastAsia="ko-KR"/>
        </w:rPr>
        <w:t xml:space="preserve"> Draft </w:t>
      </w:r>
      <w:r w:rsidR="00802C57">
        <w:rPr>
          <w:sz w:val="22"/>
          <w:lang w:eastAsia="ko-KR"/>
        </w:rPr>
        <w:t>1.2</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01485C">
        <w:tc>
          <w:tcPr>
            <w:tcW w:w="703" w:type="dxa"/>
            <w:tcBorders>
              <w:top w:val="single" w:sz="4" w:space="0" w:color="auto"/>
            </w:tcBorders>
          </w:tcPr>
          <w:p w14:paraId="267A74D2" w14:textId="591793F1" w:rsidR="00A6648F" w:rsidRPr="00390CA8" w:rsidRDefault="00717574" w:rsidP="00345A9E">
            <w:pPr>
              <w:spacing w:before="120" w:after="120"/>
              <w:rPr>
                <w:rFonts w:ascii="Arial" w:hAnsi="Arial" w:cs="Arial"/>
                <w:sz w:val="20"/>
                <w:lang w:eastAsia="ko-KR"/>
              </w:rPr>
            </w:pPr>
            <w:r>
              <w:rPr>
                <w:rFonts w:ascii="Arial" w:eastAsia="MS Gothic" w:hAnsi="Arial" w:cs="Arial"/>
                <w:color w:val="000000" w:themeColor="dark1"/>
                <w:kern w:val="24"/>
                <w:sz w:val="20"/>
              </w:rPr>
              <w:t>234</w:t>
            </w:r>
            <w:r w:rsidR="00FE095C">
              <w:rPr>
                <w:rFonts w:ascii="Arial" w:eastAsia="MS Gothic" w:hAnsi="Arial" w:cs="Arial"/>
                <w:color w:val="000000" w:themeColor="dark1"/>
                <w:kern w:val="24"/>
                <w:sz w:val="20"/>
              </w:rPr>
              <w:t>7</w:t>
            </w:r>
          </w:p>
        </w:tc>
        <w:tc>
          <w:tcPr>
            <w:tcW w:w="872" w:type="dxa"/>
            <w:tcBorders>
              <w:top w:val="single" w:sz="4" w:space="0" w:color="auto"/>
            </w:tcBorders>
          </w:tcPr>
          <w:p w14:paraId="7DD4D830" w14:textId="77777777" w:rsidR="00FE095C" w:rsidRDefault="00FE095C" w:rsidP="00FE095C">
            <w:pPr>
              <w:rPr>
                <w:rFonts w:ascii="Arial" w:hAnsi="Arial" w:cs="Arial"/>
                <w:sz w:val="20"/>
                <w:lang w:val="en-US" w:eastAsia="zh-CN"/>
              </w:rPr>
            </w:pPr>
            <w:r>
              <w:rPr>
                <w:rFonts w:ascii="Arial" w:hAnsi="Arial" w:cs="Arial"/>
                <w:sz w:val="20"/>
              </w:rPr>
              <w:t>B4.4.2</w:t>
            </w:r>
          </w:p>
          <w:p w14:paraId="3734EC44" w14:textId="6FC8445C" w:rsidR="00A6648F" w:rsidRPr="00A71D0B" w:rsidRDefault="00A6648F" w:rsidP="00A6648F">
            <w:pPr>
              <w:rPr>
                <w:rFonts w:ascii="Arial" w:hAnsi="Arial" w:cs="Arial"/>
                <w:sz w:val="20"/>
              </w:rPr>
            </w:pPr>
          </w:p>
        </w:tc>
        <w:tc>
          <w:tcPr>
            <w:tcW w:w="695" w:type="dxa"/>
            <w:tcBorders>
              <w:top w:val="single" w:sz="4" w:space="0" w:color="auto"/>
            </w:tcBorders>
          </w:tcPr>
          <w:p w14:paraId="0458BEC1" w14:textId="2FD099BB" w:rsidR="00A6648F" w:rsidRPr="00A71D0B" w:rsidRDefault="0098533B" w:rsidP="00345A9E">
            <w:pPr>
              <w:spacing w:before="120" w:after="120"/>
              <w:rPr>
                <w:rFonts w:ascii="Arial" w:hAnsi="Arial" w:cs="Arial"/>
                <w:sz w:val="20"/>
              </w:rPr>
            </w:pPr>
            <w:r>
              <w:rPr>
                <w:rFonts w:ascii="Arial" w:hAnsi="Arial" w:cs="Arial"/>
                <w:sz w:val="20"/>
              </w:rPr>
              <w:t>4</w:t>
            </w:r>
            <w:r w:rsidR="00FE095C">
              <w:rPr>
                <w:rFonts w:ascii="Arial" w:hAnsi="Arial" w:cs="Arial"/>
                <w:sz w:val="20"/>
              </w:rPr>
              <w:t>959</w:t>
            </w:r>
          </w:p>
        </w:tc>
        <w:tc>
          <w:tcPr>
            <w:tcW w:w="628" w:type="dxa"/>
            <w:tcBorders>
              <w:top w:val="single" w:sz="4" w:space="0" w:color="auto"/>
            </w:tcBorders>
          </w:tcPr>
          <w:p w14:paraId="5B9AA19E" w14:textId="7F2973CB" w:rsidR="00A6648F" w:rsidRPr="00A71D0B" w:rsidRDefault="00FE095C" w:rsidP="00345A9E">
            <w:pPr>
              <w:spacing w:before="120" w:after="120"/>
              <w:rPr>
                <w:rFonts w:ascii="Arial" w:hAnsi="Arial" w:cs="Arial"/>
                <w:sz w:val="20"/>
              </w:rPr>
            </w:pPr>
            <w:r>
              <w:rPr>
                <w:rFonts w:ascii="Arial" w:eastAsia="MS Gothic" w:hAnsi="Arial" w:cs="Arial"/>
                <w:color w:val="000000" w:themeColor="dark1"/>
                <w:kern w:val="24"/>
                <w:sz w:val="20"/>
              </w:rPr>
              <w:t>15</w:t>
            </w:r>
          </w:p>
        </w:tc>
        <w:tc>
          <w:tcPr>
            <w:tcW w:w="2322" w:type="dxa"/>
            <w:tcBorders>
              <w:top w:val="single" w:sz="4" w:space="0" w:color="auto"/>
            </w:tcBorders>
          </w:tcPr>
          <w:p w14:paraId="7B7BF76E" w14:textId="77777777" w:rsidR="003B5937" w:rsidRDefault="003B5937" w:rsidP="003B5937">
            <w:pPr>
              <w:rPr>
                <w:rFonts w:ascii="Arial" w:hAnsi="Arial" w:cs="Arial"/>
                <w:sz w:val="20"/>
                <w:lang w:val="en-US" w:eastAsia="zh-CN"/>
              </w:rPr>
            </w:pPr>
            <w:r>
              <w:rPr>
                <w:rFonts w:ascii="Arial" w:hAnsi="Arial" w:cs="Arial"/>
                <w:sz w:val="20"/>
              </w:rPr>
              <w:t>Please check FT53, is the trigger frame meant to be basic trigger frame or all trigger frames? It is not clear from the context. If it is meant to be all trigger frame, then it should be marked as optional since not all trigger frames are supported by all CFHE. Related to this topic, FR54 on P4970L53 seems to indicate reception of trigger frame is optional.</w:t>
            </w:r>
          </w:p>
          <w:p w14:paraId="56370A61" w14:textId="1588531D" w:rsidR="00A6648F" w:rsidRPr="004E58B9" w:rsidRDefault="00A6648F" w:rsidP="00345A9E">
            <w:pPr>
              <w:spacing w:before="120" w:after="120"/>
              <w:rPr>
                <w:rFonts w:ascii="Arial" w:hAnsi="Arial" w:cs="Arial"/>
                <w:sz w:val="20"/>
                <w:lang w:val="en-US"/>
              </w:rPr>
            </w:pPr>
          </w:p>
        </w:tc>
        <w:tc>
          <w:tcPr>
            <w:tcW w:w="2250" w:type="dxa"/>
            <w:tcBorders>
              <w:top w:val="single" w:sz="4" w:space="0" w:color="auto"/>
            </w:tcBorders>
          </w:tcPr>
          <w:p w14:paraId="7B85CC6E" w14:textId="50367CDB" w:rsidR="0098533B" w:rsidRDefault="003B5937" w:rsidP="0098533B">
            <w:pPr>
              <w:rPr>
                <w:rFonts w:ascii="Arial" w:hAnsi="Arial" w:cs="Arial"/>
                <w:sz w:val="20"/>
                <w:lang w:val="en-US" w:eastAsia="zh-CN"/>
              </w:rPr>
            </w:pPr>
            <w:r>
              <w:rPr>
                <w:rFonts w:ascii="Arial" w:hAnsi="Arial" w:cs="Arial"/>
                <w:sz w:val="20"/>
              </w:rPr>
              <w:t>As in comment</w:t>
            </w:r>
          </w:p>
          <w:p w14:paraId="18961F3B" w14:textId="4DC8B65F"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tcBorders>
          </w:tcPr>
          <w:p w14:paraId="3039186B" w14:textId="2036B67A" w:rsidR="00A6648F" w:rsidRDefault="00C477C8" w:rsidP="00A6648F">
            <w:pPr>
              <w:rPr>
                <w:rFonts w:ascii="Arial" w:hAnsi="Arial" w:cs="Arial"/>
                <w:sz w:val="20"/>
              </w:rPr>
            </w:pPr>
            <w:r>
              <w:rPr>
                <w:rFonts w:ascii="Arial" w:hAnsi="Arial" w:cs="Arial"/>
                <w:sz w:val="20"/>
              </w:rPr>
              <w:t xml:space="preserve">Revised: agree in principle with the comment. </w:t>
            </w:r>
            <w:r w:rsidR="00925B6B">
              <w:rPr>
                <w:rFonts w:ascii="Arial" w:hAnsi="Arial" w:cs="Arial"/>
                <w:sz w:val="20"/>
              </w:rPr>
              <w:t>The support for Trigger frame has been changed to optional since trigger frame contains several types</w:t>
            </w:r>
            <w:r w:rsidR="00B50B26">
              <w:rPr>
                <w:rFonts w:ascii="Arial" w:hAnsi="Arial" w:cs="Arial"/>
                <w:sz w:val="20"/>
              </w:rPr>
              <w:t>, such as NDP Report poll,</w:t>
            </w:r>
            <w:r w:rsidR="00925B6B">
              <w:rPr>
                <w:rFonts w:ascii="Arial" w:hAnsi="Arial" w:cs="Arial"/>
                <w:sz w:val="20"/>
              </w:rPr>
              <w:t xml:space="preserve"> that are not </w:t>
            </w:r>
            <w:r w:rsidR="00B50B26">
              <w:rPr>
                <w:rFonts w:ascii="Arial" w:hAnsi="Arial" w:cs="Arial"/>
                <w:sz w:val="20"/>
              </w:rPr>
              <w:t>mandatory for an HE AP/STA.</w:t>
            </w:r>
          </w:p>
          <w:p w14:paraId="72C6D565" w14:textId="50F56BB1" w:rsidR="00C477C8" w:rsidRDefault="00C477C8" w:rsidP="00A6648F">
            <w:pPr>
              <w:rPr>
                <w:rFonts w:ascii="Arial" w:hAnsi="Arial" w:cs="Arial"/>
                <w:sz w:val="20"/>
              </w:rPr>
            </w:pPr>
          </w:p>
          <w:p w14:paraId="723143A2" w14:textId="34AB0468" w:rsidR="00C477C8" w:rsidRDefault="00C477C8" w:rsidP="00A6648F">
            <w:pPr>
              <w:rPr>
                <w:rFonts w:ascii="Arial" w:hAnsi="Arial" w:cs="Arial"/>
                <w:sz w:val="20"/>
              </w:rPr>
            </w:pPr>
            <w:r>
              <w:rPr>
                <w:rFonts w:ascii="Arial" w:hAnsi="Arial" w:cs="Arial"/>
                <w:sz w:val="20"/>
              </w:rPr>
              <w:t>TG</w:t>
            </w:r>
            <w:r w:rsidR="002E7237">
              <w:rPr>
                <w:rFonts w:ascii="Arial" w:hAnsi="Arial" w:cs="Arial"/>
                <w:sz w:val="20"/>
              </w:rPr>
              <w:t>m</w:t>
            </w:r>
            <w:r>
              <w:rPr>
                <w:rFonts w:ascii="Arial" w:hAnsi="Arial" w:cs="Arial"/>
                <w:sz w:val="20"/>
              </w:rPr>
              <w:t xml:space="preserve"> editor: </w:t>
            </w:r>
          </w:p>
          <w:p w14:paraId="72351A22" w14:textId="626B8CEB" w:rsidR="00F57F2A" w:rsidRDefault="00F57F2A" w:rsidP="00A6648F">
            <w:pPr>
              <w:rPr>
                <w:rFonts w:ascii="Arial" w:hAnsi="Arial" w:cs="Arial"/>
                <w:sz w:val="20"/>
              </w:rPr>
            </w:pPr>
          </w:p>
          <w:p w14:paraId="5309FCA5" w14:textId="1550D31B" w:rsidR="00F57F2A" w:rsidRDefault="00F57F2A" w:rsidP="00A6648F">
            <w:pPr>
              <w:rPr>
                <w:rFonts w:ascii="Arial" w:hAnsi="Arial" w:cs="Arial"/>
                <w:sz w:val="20"/>
                <w:lang w:val="en-US" w:eastAsia="zh-CN"/>
              </w:rPr>
            </w:pPr>
            <w:r>
              <w:rPr>
                <w:rFonts w:ascii="Arial" w:hAnsi="Arial" w:cs="Arial"/>
                <w:sz w:val="20"/>
              </w:rPr>
              <w:t xml:space="preserve">Please incorporate changes </w:t>
            </w:r>
            <w:r w:rsidR="004D4C83">
              <w:rPr>
                <w:rFonts w:ascii="Arial" w:hAnsi="Arial" w:cs="Arial"/>
                <w:sz w:val="20"/>
              </w:rPr>
              <w:t>contained in 11-2</w:t>
            </w:r>
            <w:r w:rsidR="002E7237">
              <w:rPr>
                <w:rFonts w:ascii="Arial" w:hAnsi="Arial" w:cs="Arial"/>
                <w:sz w:val="20"/>
              </w:rPr>
              <w:t>2</w:t>
            </w:r>
            <w:r w:rsidR="004D4C83">
              <w:rPr>
                <w:rFonts w:ascii="Arial" w:hAnsi="Arial" w:cs="Arial"/>
                <w:sz w:val="20"/>
              </w:rPr>
              <w:t>/</w:t>
            </w:r>
            <w:r w:rsidR="002E7237">
              <w:rPr>
                <w:rFonts w:ascii="Arial" w:hAnsi="Arial" w:cs="Arial"/>
                <w:sz w:val="20"/>
              </w:rPr>
              <w:t>7</w:t>
            </w:r>
            <w:r w:rsidR="004C4567">
              <w:rPr>
                <w:rFonts w:ascii="Arial" w:hAnsi="Arial" w:cs="Arial"/>
                <w:sz w:val="20"/>
              </w:rPr>
              <w:t>75</w:t>
            </w:r>
            <w:r w:rsidR="004D4C83">
              <w:rPr>
                <w:rFonts w:ascii="Arial" w:hAnsi="Arial" w:cs="Arial"/>
                <w:sz w:val="20"/>
              </w:rPr>
              <w:t>r0.</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C2C297F" w14:textId="3F662FEC" w:rsidR="0001731B" w:rsidRDefault="0001731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sz w:val="22"/>
          <w:szCs w:val="22"/>
          <w:u w:val="single"/>
          <w:lang w:val="en-SG" w:eastAsia="ko-KR"/>
        </w:rPr>
      </w:pPr>
      <w:r>
        <w:rPr>
          <w:rFonts w:ascii="Arial" w:hAnsi="Arial" w:cs="Arial"/>
          <w:b/>
          <w:bCs/>
          <w:iCs/>
          <w:color w:val="000000"/>
          <w:sz w:val="22"/>
          <w:szCs w:val="22"/>
          <w:u w:val="single"/>
          <w:lang w:val="en-SG" w:eastAsia="ko-KR"/>
        </w:rPr>
        <w:t>Discussion:</w:t>
      </w:r>
    </w:p>
    <w:p w14:paraId="64179951" w14:textId="2A2A32DB" w:rsidR="00B70C24" w:rsidRDefault="0096270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r>
        <w:rPr>
          <w:rFonts w:ascii="Arial" w:hAnsi="Arial" w:cs="Arial"/>
          <w:iCs/>
          <w:color w:val="000000"/>
          <w:sz w:val="22"/>
          <w:szCs w:val="22"/>
          <w:u w:val="single"/>
          <w:lang w:val="en-SG" w:eastAsia="ko-KR"/>
        </w:rPr>
        <w:t xml:space="preserve">Trigger frame contains multiple </w:t>
      </w:r>
      <w:r w:rsidR="00855015">
        <w:rPr>
          <w:rFonts w:ascii="Arial" w:hAnsi="Arial" w:cs="Arial"/>
          <w:iCs/>
          <w:color w:val="000000"/>
          <w:sz w:val="22"/>
          <w:szCs w:val="22"/>
          <w:u w:val="single"/>
          <w:lang w:val="en-SG" w:eastAsia="ko-KR"/>
        </w:rPr>
        <w:t xml:space="preserve">variants, such as </w:t>
      </w:r>
      <w:r w:rsidR="00E966B2">
        <w:rPr>
          <w:rFonts w:ascii="Arial" w:hAnsi="Arial" w:cs="Arial"/>
          <w:iCs/>
          <w:color w:val="000000"/>
          <w:sz w:val="22"/>
          <w:szCs w:val="22"/>
          <w:u w:val="single"/>
          <w:lang w:val="en-SG" w:eastAsia="ko-KR"/>
        </w:rPr>
        <w:t>Basic trigger frame, MU-BAR, MU-RTS, Buffer Status Report Poll, GCR MU-BAR, NDP Feedback Report Poll, though Basic trigger frame is mandatory, other types are not, such as N</w:t>
      </w:r>
      <w:r w:rsidR="00525D88">
        <w:rPr>
          <w:rFonts w:ascii="Arial" w:hAnsi="Arial" w:cs="Arial"/>
          <w:iCs/>
          <w:color w:val="000000"/>
          <w:sz w:val="22"/>
          <w:szCs w:val="22"/>
          <w:u w:val="single"/>
          <w:lang w:val="en-SG" w:eastAsia="ko-KR"/>
        </w:rPr>
        <w:t>DP Feedback Report Poll.</w:t>
      </w:r>
      <w:r w:rsidR="00BD5E5F">
        <w:rPr>
          <w:rFonts w:ascii="Arial" w:hAnsi="Arial" w:cs="Arial"/>
          <w:iCs/>
          <w:color w:val="000000"/>
          <w:sz w:val="22"/>
          <w:szCs w:val="22"/>
          <w:u w:val="single"/>
          <w:lang w:val="en-SG" w:eastAsia="ko-KR"/>
        </w:rPr>
        <w:t xml:space="preserve"> The capabilit</w:t>
      </w:r>
      <w:r w:rsidR="002016B6">
        <w:rPr>
          <w:rFonts w:ascii="Arial" w:hAnsi="Arial" w:cs="Arial"/>
          <w:iCs/>
          <w:color w:val="000000"/>
          <w:sz w:val="22"/>
          <w:szCs w:val="22"/>
          <w:u w:val="single"/>
          <w:lang w:val="en-SG" w:eastAsia="ko-KR"/>
        </w:rPr>
        <w:t>y</w:t>
      </w:r>
      <w:r w:rsidR="00BD5E5F">
        <w:rPr>
          <w:rFonts w:ascii="Arial" w:hAnsi="Arial" w:cs="Arial"/>
          <w:iCs/>
          <w:color w:val="000000"/>
          <w:sz w:val="22"/>
          <w:szCs w:val="22"/>
          <w:u w:val="single"/>
          <w:lang w:val="en-SG" w:eastAsia="ko-KR"/>
        </w:rPr>
        <w:t xml:space="preserve"> for supporting </w:t>
      </w:r>
      <w:r w:rsidR="002016B6">
        <w:rPr>
          <w:rFonts w:ascii="Arial" w:hAnsi="Arial" w:cs="Arial"/>
          <w:iCs/>
          <w:color w:val="000000"/>
          <w:sz w:val="22"/>
          <w:szCs w:val="22"/>
          <w:u w:val="single"/>
          <w:lang w:val="en-SG" w:eastAsia="ko-KR"/>
        </w:rPr>
        <w:t>NDP Feedback Report is indicated by an AP or a STA in the HE Capabilities element that it transmits.</w:t>
      </w:r>
      <w:r w:rsidR="00525D88">
        <w:rPr>
          <w:rFonts w:ascii="Arial" w:hAnsi="Arial" w:cs="Arial"/>
          <w:iCs/>
          <w:color w:val="000000"/>
          <w:sz w:val="22"/>
          <w:szCs w:val="22"/>
          <w:u w:val="single"/>
          <w:lang w:val="en-SG" w:eastAsia="ko-KR"/>
        </w:rPr>
        <w:t xml:space="preserve"> </w:t>
      </w:r>
      <w:r w:rsidR="002016B6">
        <w:rPr>
          <w:rFonts w:ascii="Arial" w:hAnsi="Arial" w:cs="Arial"/>
          <w:iCs/>
          <w:color w:val="000000"/>
          <w:sz w:val="22"/>
          <w:szCs w:val="22"/>
          <w:u w:val="single"/>
          <w:lang w:val="en-SG" w:eastAsia="ko-KR"/>
        </w:rPr>
        <w:t xml:space="preserve">Since it is optional to support some types of trigger frame, the </w:t>
      </w:r>
      <w:r w:rsidR="00802CE8">
        <w:rPr>
          <w:rFonts w:ascii="Arial" w:hAnsi="Arial" w:cs="Arial"/>
          <w:iCs/>
          <w:color w:val="000000"/>
          <w:sz w:val="22"/>
          <w:szCs w:val="22"/>
          <w:u w:val="single"/>
          <w:lang w:val="en-SG" w:eastAsia="ko-KR"/>
        </w:rPr>
        <w:t>support for Trigger frame should be indicated as optional.</w:t>
      </w:r>
      <w:r w:rsidR="00525D88">
        <w:rPr>
          <w:rFonts w:ascii="Arial" w:hAnsi="Arial" w:cs="Arial"/>
          <w:iCs/>
          <w:color w:val="000000"/>
          <w:sz w:val="22"/>
          <w:szCs w:val="22"/>
          <w:u w:val="single"/>
          <w:lang w:val="en-SG" w:eastAsia="ko-KR"/>
        </w:rPr>
        <w:t xml:space="preserve"> </w:t>
      </w:r>
    </w:p>
    <w:p w14:paraId="70710308" w14:textId="3496F893" w:rsidR="004B2D23" w:rsidRDefault="004B2D23"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w:t>
      </w:r>
      <w:r>
        <w:rPr>
          <w:b/>
          <w:bCs/>
          <w:i/>
          <w:iCs/>
          <w:sz w:val="22"/>
          <w:szCs w:val="24"/>
          <w:highlight w:val="yellow"/>
          <w:lang w:val="en-US"/>
        </w:rPr>
        <w:t>m</w:t>
      </w:r>
      <w:r w:rsidRPr="005A4980">
        <w:rPr>
          <w:b/>
          <w:bCs/>
          <w:i/>
          <w:iCs/>
          <w:sz w:val="22"/>
          <w:szCs w:val="24"/>
          <w:highlight w:val="yellow"/>
          <w:lang w:val="en-US"/>
        </w:rPr>
        <w:t xml:space="preserve"> Editor: </w:t>
      </w:r>
      <w:r>
        <w:rPr>
          <w:b/>
          <w:bCs/>
          <w:i/>
          <w:iCs/>
          <w:sz w:val="22"/>
          <w:szCs w:val="24"/>
          <w:lang w:val="en-US"/>
        </w:rPr>
        <w:t xml:space="preserve">please modify </w:t>
      </w:r>
      <w:r w:rsidR="008749B9">
        <w:rPr>
          <w:b/>
          <w:bCs/>
          <w:i/>
          <w:iCs/>
          <w:sz w:val="22"/>
          <w:szCs w:val="24"/>
          <w:lang w:val="en-US"/>
        </w:rPr>
        <w:t>Annex B4.4.2 as follows (baseline is 802.11 RevME D1.2)</w:t>
      </w:r>
    </w:p>
    <w:p w14:paraId="1ECB0156" w14:textId="6CFF033A"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tbl>
      <w:tblPr>
        <w:tblW w:w="0" w:type="auto"/>
        <w:jc w:val="center"/>
        <w:tblBorders>
          <w:top w:val="single" w:sz="4" w:space="0" w:color="auto"/>
          <w:left w:val="single" w:sz="12" w:space="0" w:color="000000"/>
          <w:bottom w:val="single" w:sz="2" w:space="0" w:color="000000"/>
          <w:right w:val="single" w:sz="12" w:space="0" w:color="000000"/>
          <w:insideH w:val="single" w:sz="2" w:space="0" w:color="000000"/>
          <w:insideV w:val="single" w:sz="2"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244746" w14:paraId="7015B145" w14:textId="77777777" w:rsidTr="00244746">
        <w:trPr>
          <w:trHeight w:val="700"/>
          <w:jc w:val="center"/>
        </w:trPr>
        <w:tc>
          <w:tcPr>
            <w:tcW w:w="1260" w:type="dxa"/>
            <w:tcMar>
              <w:top w:w="80" w:type="dxa"/>
              <w:left w:w="120" w:type="dxa"/>
              <w:bottom w:w="40" w:type="dxa"/>
              <w:right w:w="120" w:type="dxa"/>
            </w:tcMar>
          </w:tcPr>
          <w:p w14:paraId="7506AE38" w14:textId="77777777" w:rsidR="00244746" w:rsidRDefault="00244746" w:rsidP="009549EE">
            <w:pPr>
              <w:pStyle w:val="CellBody"/>
            </w:pPr>
            <w:r>
              <w:rPr>
                <w:w w:val="100"/>
              </w:rPr>
              <w:t>(11ax)FT53</w:t>
            </w:r>
          </w:p>
        </w:tc>
        <w:tc>
          <w:tcPr>
            <w:tcW w:w="2900" w:type="dxa"/>
            <w:tcMar>
              <w:top w:w="80" w:type="dxa"/>
              <w:left w:w="120" w:type="dxa"/>
              <w:bottom w:w="40" w:type="dxa"/>
              <w:right w:w="120" w:type="dxa"/>
            </w:tcMar>
          </w:tcPr>
          <w:p w14:paraId="1C569681" w14:textId="77777777" w:rsidR="00244746" w:rsidRDefault="00244746" w:rsidP="009549EE">
            <w:pPr>
              <w:pStyle w:val="CellBody"/>
            </w:pPr>
            <w:r>
              <w:rPr>
                <w:w w:val="100"/>
              </w:rPr>
              <w:t>Trigger frame</w:t>
            </w:r>
          </w:p>
        </w:tc>
        <w:tc>
          <w:tcPr>
            <w:tcW w:w="1160" w:type="dxa"/>
            <w:tcMar>
              <w:top w:w="80" w:type="dxa"/>
              <w:left w:w="120" w:type="dxa"/>
              <w:bottom w:w="40" w:type="dxa"/>
              <w:right w:w="120" w:type="dxa"/>
            </w:tcMar>
          </w:tcPr>
          <w:p w14:paraId="40D88597" w14:textId="77777777" w:rsidR="00244746" w:rsidRDefault="00244746" w:rsidP="009549EE">
            <w:pPr>
              <w:pStyle w:val="CellBody"/>
            </w:pPr>
            <w:r>
              <w:rPr>
                <w:w w:val="100"/>
              </w:rPr>
              <w:t>Clause 9 (Frame formats)</w:t>
            </w:r>
          </w:p>
        </w:tc>
        <w:tc>
          <w:tcPr>
            <w:tcW w:w="1400" w:type="dxa"/>
            <w:tcMar>
              <w:top w:w="80" w:type="dxa"/>
              <w:left w:w="120" w:type="dxa"/>
              <w:bottom w:w="40" w:type="dxa"/>
              <w:right w:w="120" w:type="dxa"/>
            </w:tcMar>
          </w:tcPr>
          <w:p w14:paraId="4D89CA92" w14:textId="47558249" w:rsidR="00244746" w:rsidRDefault="00244746" w:rsidP="009549EE">
            <w:pPr>
              <w:pStyle w:val="CellBody"/>
            </w:pPr>
            <w:r>
              <w:rPr>
                <w:w w:val="100"/>
              </w:rPr>
              <w:t>CFHE:</w:t>
            </w:r>
            <w:del w:id="0" w:author="Xiaofei Wang" w:date="2022-05-18T17:42:00Z">
              <w:r w:rsidDel="00EF6879">
                <w:rPr>
                  <w:w w:val="100"/>
                </w:rPr>
                <w:delText>M</w:delText>
              </w:r>
            </w:del>
            <w:ins w:id="1" w:author="Xiaofei Wang" w:date="2022-05-18T17:42:00Z">
              <w:r w:rsidR="00EF6879">
                <w:rPr>
                  <w:w w:val="100"/>
                </w:rPr>
                <w:t>O</w:t>
              </w:r>
            </w:ins>
          </w:p>
        </w:tc>
        <w:tc>
          <w:tcPr>
            <w:tcW w:w="1880" w:type="dxa"/>
            <w:tcMar>
              <w:top w:w="80" w:type="dxa"/>
              <w:left w:w="120" w:type="dxa"/>
              <w:bottom w:w="40" w:type="dxa"/>
              <w:right w:w="120" w:type="dxa"/>
            </w:tcMar>
          </w:tcPr>
          <w:p w14:paraId="3A2D1F47" w14:textId="77777777" w:rsidR="00244746" w:rsidRDefault="00244746" w:rsidP="009549E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p>
        </w:tc>
      </w:tr>
      <w:tr w:rsidR="00244746" w14:paraId="6DA36FC5" w14:textId="77777777" w:rsidTr="00244746">
        <w:trPr>
          <w:trHeight w:val="700"/>
          <w:jc w:val="center"/>
        </w:trPr>
        <w:tc>
          <w:tcPr>
            <w:tcW w:w="1260" w:type="dxa"/>
            <w:tcMar>
              <w:top w:w="80" w:type="dxa"/>
              <w:left w:w="120" w:type="dxa"/>
              <w:bottom w:w="40" w:type="dxa"/>
              <w:right w:w="120" w:type="dxa"/>
            </w:tcMar>
          </w:tcPr>
          <w:p w14:paraId="0B3E930A" w14:textId="77777777" w:rsidR="00244746" w:rsidRDefault="00244746" w:rsidP="009549EE">
            <w:pPr>
              <w:pStyle w:val="CellBody"/>
            </w:pPr>
            <w:r>
              <w:rPr>
                <w:w w:val="100"/>
              </w:rPr>
              <w:t>(11ay)FT54</w:t>
            </w:r>
          </w:p>
        </w:tc>
        <w:tc>
          <w:tcPr>
            <w:tcW w:w="2900" w:type="dxa"/>
            <w:tcMar>
              <w:top w:w="80" w:type="dxa"/>
              <w:left w:w="120" w:type="dxa"/>
              <w:bottom w:w="40" w:type="dxa"/>
              <w:right w:w="120" w:type="dxa"/>
            </w:tcMar>
          </w:tcPr>
          <w:p w14:paraId="7A9B9A8E" w14:textId="77777777" w:rsidR="00244746" w:rsidRDefault="00244746" w:rsidP="009549EE">
            <w:pPr>
              <w:pStyle w:val="CellBody"/>
            </w:pPr>
            <w:r>
              <w:rPr>
                <w:w w:val="100"/>
              </w:rPr>
              <w:t>Sector Ack</w:t>
            </w:r>
          </w:p>
        </w:tc>
        <w:tc>
          <w:tcPr>
            <w:tcW w:w="1160" w:type="dxa"/>
            <w:tcMar>
              <w:top w:w="80" w:type="dxa"/>
              <w:left w:w="120" w:type="dxa"/>
              <w:bottom w:w="40" w:type="dxa"/>
              <w:right w:w="120" w:type="dxa"/>
            </w:tcMar>
          </w:tcPr>
          <w:p w14:paraId="3E853511" w14:textId="77777777" w:rsidR="00244746" w:rsidRDefault="00244746" w:rsidP="009549EE">
            <w:pPr>
              <w:pStyle w:val="CellBody"/>
            </w:pPr>
            <w:r>
              <w:rPr>
                <w:w w:val="100"/>
              </w:rPr>
              <w:t>Clause 9 (Frame formats)</w:t>
            </w:r>
          </w:p>
        </w:tc>
        <w:tc>
          <w:tcPr>
            <w:tcW w:w="1400" w:type="dxa"/>
            <w:tcMar>
              <w:top w:w="80" w:type="dxa"/>
              <w:left w:w="120" w:type="dxa"/>
              <w:bottom w:w="40" w:type="dxa"/>
              <w:right w:w="120" w:type="dxa"/>
            </w:tcMar>
          </w:tcPr>
          <w:p w14:paraId="1751B434" w14:textId="77777777" w:rsidR="00244746" w:rsidRDefault="00244746" w:rsidP="009549EE">
            <w:pPr>
              <w:pStyle w:val="CellBody"/>
            </w:pPr>
            <w:r>
              <w:rPr>
                <w:w w:val="100"/>
              </w:rPr>
              <w:t>EDMG-M16.4:M</w:t>
            </w:r>
          </w:p>
        </w:tc>
        <w:tc>
          <w:tcPr>
            <w:tcW w:w="1880" w:type="dxa"/>
            <w:tcMar>
              <w:top w:w="80" w:type="dxa"/>
              <w:left w:w="120" w:type="dxa"/>
              <w:bottom w:w="40" w:type="dxa"/>
              <w:right w:w="120" w:type="dxa"/>
            </w:tcMar>
          </w:tcPr>
          <w:p w14:paraId="347AFF5D" w14:textId="77777777" w:rsidR="00244746" w:rsidRDefault="00244746" w:rsidP="009549E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0E2BB0C0" w14:textId="77777777"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sectPr w:rsidR="008749B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50C1" w14:textId="77777777" w:rsidR="00285828" w:rsidRDefault="00285828">
      <w:r>
        <w:separator/>
      </w:r>
    </w:p>
  </w:endnote>
  <w:endnote w:type="continuationSeparator" w:id="0">
    <w:p w14:paraId="7A92F3FE" w14:textId="77777777" w:rsidR="00285828" w:rsidRDefault="0028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3B593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B260" w14:textId="77777777" w:rsidR="00285828" w:rsidRDefault="00285828">
      <w:r>
        <w:separator/>
      </w:r>
    </w:p>
  </w:footnote>
  <w:footnote w:type="continuationSeparator" w:id="0">
    <w:p w14:paraId="0201BA91" w14:textId="77777777" w:rsidR="00285828" w:rsidRDefault="0028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85FE0C0" w:rsidR="00FE05E8" w:rsidRDefault="00802C57">
    <w:pPr>
      <w:pStyle w:val="Header"/>
      <w:tabs>
        <w:tab w:val="clear" w:pos="6480"/>
        <w:tab w:val="center" w:pos="4680"/>
        <w:tab w:val="right" w:pos="9360"/>
      </w:tabs>
    </w:pPr>
    <w:r>
      <w:rPr>
        <w:lang w:eastAsia="ko-KR"/>
      </w:rPr>
      <w:t>May</w:t>
    </w:r>
    <w:r w:rsidR="00676881">
      <w:rPr>
        <w:lang w:eastAsia="ko-KR"/>
      </w:rPr>
      <w:t xml:space="preserve"> 20</w:t>
    </w:r>
    <w:r w:rsidR="00B96526">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r w:rsidR="00B50B26">
      <w:fldChar w:fldCharType="begin"/>
    </w:r>
    <w:r w:rsidR="00B50B26">
      <w:instrText xml:space="preserve"> TITLE  \* MERGEFORMAT </w:instrText>
    </w:r>
    <w:r w:rsidR="00B50B26">
      <w:fldChar w:fldCharType="separate"/>
    </w:r>
    <w:r w:rsidR="00676881">
      <w:t>doc.: IEEE 802.11-</w:t>
    </w:r>
    <w:r>
      <w:t>22</w:t>
    </w:r>
    <w:r w:rsidR="00FE05E8">
      <w:t>/</w:t>
    </w:r>
    <w:r w:rsidR="00B50B26">
      <w:fldChar w:fldCharType="end"/>
    </w:r>
    <w:r w:rsidR="00B52457">
      <w:rPr>
        <w:lang w:eastAsia="ko-KR"/>
      </w:rPr>
      <w:t>0</w:t>
    </w:r>
    <w:r>
      <w:rPr>
        <w:lang w:eastAsia="ko-KR"/>
      </w:rPr>
      <w:t>7</w:t>
    </w:r>
    <w:r w:rsidR="00820C25">
      <w:rPr>
        <w:lang w:eastAsia="ko-KR"/>
      </w:rPr>
      <w:t>75</w:t>
    </w:r>
    <w:r w:rsidR="00A6648F">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D31"/>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16B6"/>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46"/>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5828"/>
    <w:rsid w:val="00287B9F"/>
    <w:rsid w:val="00290201"/>
    <w:rsid w:val="00291A10"/>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5937"/>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2D23"/>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567"/>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88"/>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B5B"/>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C57"/>
    <w:rsid w:val="00802CE8"/>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0C25"/>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015"/>
    <w:rsid w:val="00855910"/>
    <w:rsid w:val="00855B3D"/>
    <w:rsid w:val="0085795D"/>
    <w:rsid w:val="0086233D"/>
    <w:rsid w:val="00862936"/>
    <w:rsid w:val="0086745D"/>
    <w:rsid w:val="00867C24"/>
    <w:rsid w:val="00870BF0"/>
    <w:rsid w:val="008716D8"/>
    <w:rsid w:val="008717CE"/>
    <w:rsid w:val="0087408A"/>
    <w:rsid w:val="008748F3"/>
    <w:rsid w:val="008749B9"/>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5B6B"/>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709"/>
    <w:rsid w:val="00962886"/>
    <w:rsid w:val="00964681"/>
    <w:rsid w:val="00964E7C"/>
    <w:rsid w:val="009662F3"/>
    <w:rsid w:val="00967F6F"/>
    <w:rsid w:val="00967FC7"/>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0B26"/>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1D45"/>
    <w:rsid w:val="00BD3099"/>
    <w:rsid w:val="00BD3E62"/>
    <w:rsid w:val="00BD51A9"/>
    <w:rsid w:val="00BD5E5F"/>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0B8"/>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6B2"/>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879"/>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045"/>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095C"/>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32320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176685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301</Words>
  <Characters>1584</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1882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22</cp:revision>
  <cp:lastPrinted>2010-05-04T03:47:00Z</cp:lastPrinted>
  <dcterms:created xsi:type="dcterms:W3CDTF">2022-05-13T15:17:00Z</dcterms:created>
  <dcterms:modified xsi:type="dcterms:W3CDTF">2022-05-18T21:44:00Z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