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8F05" w14:textId="77777777" w:rsidR="002947B8" w:rsidRPr="007328A9" w:rsidRDefault="002947B8" w:rsidP="002947B8">
      <w:pPr>
        <w:pBdr>
          <w:bottom w:val="single" w:sz="6" w:space="0" w:color="auto"/>
        </w:pBdr>
        <w:spacing w:after="240"/>
        <w:jc w:val="center"/>
        <w:rPr>
          <w:b/>
          <w:sz w:val="28"/>
        </w:rPr>
      </w:pPr>
      <w:r w:rsidRPr="007328A9">
        <w:rPr>
          <w:b/>
          <w:sz w:val="28"/>
        </w:rPr>
        <w:t>IEEE P802.11</w:t>
      </w:r>
      <w:r w:rsidRPr="007328A9">
        <w:rPr>
          <w:b/>
          <w:sz w:val="28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47B8" w:rsidRPr="007328A9" w14:paraId="2076BC67" w14:textId="77777777" w:rsidTr="003E7C20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4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  <w:gridCol w:w="1800"/>
              <w:gridCol w:w="2250"/>
              <w:gridCol w:w="895"/>
              <w:gridCol w:w="3065"/>
            </w:tblGrid>
            <w:tr w:rsidR="002947B8" w:rsidRPr="007328A9" w14:paraId="00418702" w14:textId="77777777" w:rsidTr="003E7C20">
              <w:trPr>
                <w:trHeight w:val="485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34AD87DA" w14:textId="07966ED7" w:rsidR="002947B8" w:rsidRPr="007328A9" w:rsidRDefault="009A55C9" w:rsidP="003E7C20">
                  <w:pPr>
                    <w:spacing w:after="240"/>
                    <w:ind w:left="720" w:righ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EHT-MCS And NSS Set Fix</w:t>
                  </w:r>
                </w:p>
              </w:tc>
            </w:tr>
            <w:tr w:rsidR="002947B8" w:rsidRPr="007328A9" w14:paraId="2C37711E" w14:textId="77777777" w:rsidTr="003E7C20">
              <w:trPr>
                <w:trHeight w:val="359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6CE51A86" w14:textId="0F8ED36C" w:rsidR="002947B8" w:rsidRPr="007328A9" w:rsidRDefault="002947B8" w:rsidP="003E7C20">
                  <w:pPr>
                    <w:spacing w:after="240"/>
                    <w:ind w:right="720"/>
                    <w:jc w:val="center"/>
                    <w:rPr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Date:</w:t>
                  </w:r>
                  <w:r w:rsidRPr="007328A9">
                    <w:rPr>
                      <w:sz w:val="20"/>
                    </w:rPr>
                    <w:t xml:space="preserve">  202</w:t>
                  </w:r>
                  <w:r>
                    <w:rPr>
                      <w:sz w:val="20"/>
                    </w:rPr>
                    <w:t>2-05-06</w:t>
                  </w:r>
                </w:p>
              </w:tc>
            </w:tr>
            <w:tr w:rsidR="002947B8" w:rsidRPr="007328A9" w14:paraId="77E55C0E" w14:textId="77777777" w:rsidTr="003E7C20">
              <w:trPr>
                <w:cantSplit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65FB61D7" w14:textId="77777777" w:rsidR="002947B8" w:rsidRPr="007328A9" w:rsidRDefault="002947B8" w:rsidP="003E7C20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Author(s):</w:t>
                  </w:r>
                </w:p>
              </w:tc>
            </w:tr>
            <w:tr w:rsidR="002947B8" w:rsidRPr="007328A9" w14:paraId="36E97026" w14:textId="77777777" w:rsidTr="003E7C20">
              <w:trPr>
                <w:jc w:val="center"/>
              </w:trPr>
              <w:tc>
                <w:tcPr>
                  <w:tcW w:w="1485" w:type="dxa"/>
                  <w:vAlign w:val="center"/>
                </w:tcPr>
                <w:p w14:paraId="350974F4" w14:textId="77777777" w:rsidR="002947B8" w:rsidRPr="007328A9" w:rsidRDefault="002947B8" w:rsidP="003E7C20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Name</w:t>
                  </w:r>
                </w:p>
              </w:tc>
              <w:tc>
                <w:tcPr>
                  <w:tcW w:w="1800" w:type="dxa"/>
                  <w:vAlign w:val="center"/>
                </w:tcPr>
                <w:p w14:paraId="46D895D3" w14:textId="77777777" w:rsidR="002947B8" w:rsidRPr="007328A9" w:rsidRDefault="002947B8" w:rsidP="003E7C20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Affiliation</w:t>
                  </w:r>
                </w:p>
              </w:tc>
              <w:tc>
                <w:tcPr>
                  <w:tcW w:w="2250" w:type="dxa"/>
                  <w:vAlign w:val="center"/>
                </w:tcPr>
                <w:p w14:paraId="7DF889AE" w14:textId="77777777" w:rsidR="002947B8" w:rsidRPr="007328A9" w:rsidRDefault="002947B8" w:rsidP="003E7C20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2C6C3BC" w14:textId="77777777" w:rsidR="002947B8" w:rsidRPr="007328A9" w:rsidRDefault="002947B8" w:rsidP="003E7C20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Phone</w:t>
                  </w:r>
                </w:p>
              </w:tc>
              <w:tc>
                <w:tcPr>
                  <w:tcW w:w="3065" w:type="dxa"/>
                  <w:vAlign w:val="center"/>
                </w:tcPr>
                <w:p w14:paraId="5E4FCFF2" w14:textId="77777777" w:rsidR="002947B8" w:rsidRPr="007328A9" w:rsidRDefault="002947B8" w:rsidP="003E7C20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email</w:t>
                  </w:r>
                </w:p>
              </w:tc>
            </w:tr>
            <w:tr w:rsidR="00E369D1" w:rsidRPr="007328A9" w14:paraId="4D743BCF" w14:textId="77777777" w:rsidTr="003E7C20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34803799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Kanke Wu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14:paraId="35E1C199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 w:val="20"/>
                    </w:rPr>
                    <w:t>Qualcomm, Inc.</w:t>
                  </w: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14:paraId="30CCDC54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  <w:r w:rsidRPr="007328A9">
                    <w:t xml:space="preserve">5775 </w:t>
                  </w:r>
                  <w:proofErr w:type="spellStart"/>
                  <w:r w:rsidRPr="007328A9">
                    <w:t>Morehouse</w:t>
                  </w:r>
                  <w:proofErr w:type="spellEnd"/>
                  <w:r w:rsidRPr="007328A9">
                    <w:t xml:space="preserve"> </w:t>
                  </w:r>
                  <w:proofErr w:type="spellStart"/>
                  <w:r w:rsidRPr="007328A9">
                    <w:t>Dr.</w:t>
                  </w:r>
                  <w:proofErr w:type="spellEnd"/>
                  <w:r w:rsidRPr="007328A9">
                    <w:br/>
                    <w:t>San Diego, CA 92121</w:t>
                  </w:r>
                </w:p>
              </w:tc>
              <w:tc>
                <w:tcPr>
                  <w:tcW w:w="895" w:type="dxa"/>
                  <w:vMerge w:val="restart"/>
                  <w:vAlign w:val="center"/>
                </w:tcPr>
                <w:p w14:paraId="3E2D62E0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 w:val="restart"/>
                  <w:vAlign w:val="center"/>
                </w:tcPr>
                <w:p w14:paraId="6E36F57A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kankew@qti.qualcomm.com</w:t>
                  </w:r>
                </w:p>
              </w:tc>
            </w:tr>
            <w:tr w:rsidR="00E369D1" w:rsidRPr="007328A9" w14:paraId="3D4C5A8C" w14:textId="77777777" w:rsidTr="003E7C20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7F276304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Bin Tian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14:paraId="250E8318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2250" w:type="dxa"/>
                  <w:vMerge/>
                  <w:vAlign w:val="center"/>
                </w:tcPr>
                <w:p w14:paraId="38C80643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14:paraId="6CA50A4F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/>
                  <w:vAlign w:val="center"/>
                </w:tcPr>
                <w:p w14:paraId="12896DF7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</w:tr>
            <w:tr w:rsidR="00E369D1" w:rsidRPr="007328A9" w14:paraId="12046759" w14:textId="77777777" w:rsidTr="003E7C20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446D3BF3" w14:textId="6A905FFE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  <w:r>
                    <w:rPr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14:paraId="2DA1B2BE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2250" w:type="dxa"/>
                  <w:vMerge/>
                  <w:vAlign w:val="center"/>
                </w:tcPr>
                <w:p w14:paraId="2F52F838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14:paraId="1D0943FA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/>
                  <w:vAlign w:val="center"/>
                </w:tcPr>
                <w:p w14:paraId="07819A2D" w14:textId="77777777" w:rsidR="00E369D1" w:rsidRPr="007328A9" w:rsidRDefault="00E369D1" w:rsidP="003E7C20">
                  <w:pPr>
                    <w:rPr>
                      <w:szCs w:val="18"/>
                      <w:lang w:eastAsia="ko-KR"/>
                    </w:rPr>
                  </w:pPr>
                </w:p>
              </w:tc>
            </w:tr>
          </w:tbl>
          <w:p w14:paraId="353A8114" w14:textId="77777777" w:rsidR="002947B8" w:rsidRPr="007328A9" w:rsidRDefault="002947B8" w:rsidP="003E7C20">
            <w:pPr>
              <w:spacing w:after="240"/>
              <w:ind w:left="720" w:right="720"/>
              <w:jc w:val="center"/>
              <w:rPr>
                <w:b/>
                <w:sz w:val="28"/>
              </w:rPr>
            </w:pPr>
          </w:p>
        </w:tc>
      </w:tr>
    </w:tbl>
    <w:p w14:paraId="0626709F" w14:textId="77777777" w:rsidR="002947B8" w:rsidRPr="007328A9" w:rsidRDefault="002947B8" w:rsidP="002947B8">
      <w:pPr>
        <w:spacing w:after="120"/>
        <w:jc w:val="center"/>
        <w:rPr>
          <w:b/>
          <w:sz w:val="22"/>
        </w:rPr>
      </w:pPr>
    </w:p>
    <w:p w14:paraId="0BBB35E4" w14:textId="77777777" w:rsidR="002947B8" w:rsidRPr="007328A9" w:rsidRDefault="002947B8" w:rsidP="002947B8">
      <w:pPr>
        <w:spacing w:after="120"/>
        <w:jc w:val="center"/>
        <w:rPr>
          <w:b/>
          <w:sz w:val="22"/>
        </w:rPr>
      </w:pPr>
    </w:p>
    <w:p w14:paraId="280F3329" w14:textId="77777777" w:rsidR="002947B8" w:rsidRPr="007328A9" w:rsidRDefault="002947B8" w:rsidP="002947B8">
      <w:pPr>
        <w:spacing w:after="120"/>
        <w:jc w:val="center"/>
        <w:rPr>
          <w:b/>
          <w:sz w:val="28"/>
        </w:rPr>
      </w:pPr>
      <w:r w:rsidRPr="007328A9">
        <w:rPr>
          <w:b/>
          <w:sz w:val="28"/>
        </w:rPr>
        <w:t>Abstract</w:t>
      </w:r>
    </w:p>
    <w:p w14:paraId="7BE65423" w14:textId="0589829F" w:rsidR="002947B8" w:rsidRPr="007328A9" w:rsidRDefault="002947B8" w:rsidP="001B305A">
      <w:pPr>
        <w:jc w:val="both"/>
        <w:rPr>
          <w:sz w:val="20"/>
          <w:lang w:eastAsia="ko-KR"/>
        </w:rPr>
      </w:pPr>
      <w:r w:rsidRPr="007328A9">
        <w:rPr>
          <w:rFonts w:hint="eastAsia"/>
          <w:sz w:val="20"/>
          <w:lang w:eastAsia="ko-KR"/>
        </w:rPr>
        <w:t xml:space="preserve">This submission </w:t>
      </w:r>
      <w:r w:rsidR="001B305A">
        <w:rPr>
          <w:sz w:val="20"/>
          <w:lang w:eastAsia="ko-KR"/>
        </w:rPr>
        <w:t xml:space="preserve">provides text update to </w:t>
      </w:r>
      <w:r w:rsidR="009A55C9">
        <w:rPr>
          <w:sz w:val="20"/>
          <w:lang w:eastAsia="ko-KR"/>
        </w:rPr>
        <w:t xml:space="preserve">fix </w:t>
      </w:r>
      <w:r w:rsidR="001B305A">
        <w:rPr>
          <w:sz w:val="20"/>
          <w:lang w:eastAsia="ko-KR"/>
        </w:rPr>
        <w:t xml:space="preserve">the Supported EHT-MCS And NSS Set field </w:t>
      </w:r>
      <w:r w:rsidR="009A55C9">
        <w:rPr>
          <w:sz w:val="20"/>
          <w:lang w:eastAsia="ko-KR"/>
        </w:rPr>
        <w:t xml:space="preserve">for </w:t>
      </w:r>
      <w:r w:rsidR="001B305A">
        <w:rPr>
          <w:sz w:val="20"/>
          <w:lang w:eastAsia="ko-KR"/>
        </w:rPr>
        <w:t xml:space="preserve">EHT APs </w:t>
      </w:r>
      <w:r w:rsidR="009A55C9">
        <w:rPr>
          <w:sz w:val="20"/>
          <w:lang w:eastAsia="ko-KR"/>
        </w:rPr>
        <w:t xml:space="preserve">which supports only 20 MHz channel width </w:t>
      </w:r>
      <w:r w:rsidR="001B305A">
        <w:rPr>
          <w:sz w:val="20"/>
          <w:lang w:eastAsia="ko-KR"/>
        </w:rPr>
        <w:t>in the 2.4 GHz</w:t>
      </w:r>
      <w:r w:rsidR="009A55C9">
        <w:rPr>
          <w:sz w:val="20"/>
          <w:lang w:eastAsia="ko-KR"/>
        </w:rPr>
        <w:t xml:space="preserve"> band</w:t>
      </w:r>
      <w:r w:rsidR="001B305A">
        <w:rPr>
          <w:sz w:val="20"/>
          <w:lang w:eastAsia="ko-KR"/>
        </w:rPr>
        <w:t>.</w:t>
      </w:r>
      <w:r w:rsidR="001B305A" w:rsidRPr="007328A9" w:rsidDel="001B305A">
        <w:rPr>
          <w:rFonts w:hint="eastAsia"/>
          <w:sz w:val="20"/>
          <w:lang w:eastAsia="ko-KR"/>
        </w:rPr>
        <w:t xml:space="preserve"> </w:t>
      </w:r>
    </w:p>
    <w:p w14:paraId="4E36CDDB" w14:textId="77777777" w:rsidR="002947B8" w:rsidRPr="007328A9" w:rsidRDefault="002947B8" w:rsidP="002947B8"/>
    <w:p w14:paraId="153B5A4C" w14:textId="77777777" w:rsidR="002947B8" w:rsidRPr="007328A9" w:rsidRDefault="002947B8" w:rsidP="002947B8"/>
    <w:p w14:paraId="2103C9B0" w14:textId="77777777" w:rsidR="002947B8" w:rsidRPr="007328A9" w:rsidRDefault="002947B8" w:rsidP="002947B8"/>
    <w:p w14:paraId="295D21A2" w14:textId="77777777" w:rsidR="002947B8" w:rsidRPr="007328A9" w:rsidRDefault="002947B8" w:rsidP="002947B8">
      <w:pPr>
        <w:rPr>
          <w:b/>
          <w:sz w:val="22"/>
        </w:rPr>
      </w:pPr>
      <w:r w:rsidRPr="007328A9">
        <w:rPr>
          <w:b/>
          <w:sz w:val="22"/>
        </w:rPr>
        <w:t>Revision History:</w:t>
      </w:r>
    </w:p>
    <w:p w14:paraId="74DFFC45" w14:textId="77777777" w:rsidR="002947B8" w:rsidRPr="007328A9" w:rsidRDefault="002947B8" w:rsidP="002947B8"/>
    <w:p w14:paraId="4FDDDAA7" w14:textId="77777777" w:rsidR="002947B8" w:rsidRPr="007328A9" w:rsidRDefault="002947B8" w:rsidP="002947B8">
      <w:r w:rsidRPr="007328A9">
        <w:t>R0: Initial version.</w:t>
      </w:r>
    </w:p>
    <w:p w14:paraId="0D1A0E9D" w14:textId="77777777" w:rsidR="002947B8" w:rsidRPr="007328A9" w:rsidRDefault="002947B8" w:rsidP="002947B8">
      <w:pPr>
        <w:rPr>
          <w:lang w:eastAsia="ko-KR"/>
        </w:rPr>
      </w:pPr>
    </w:p>
    <w:p w14:paraId="3BAF5DA0" w14:textId="77777777" w:rsidR="002947B8" w:rsidRPr="007328A9" w:rsidRDefault="002947B8" w:rsidP="002947B8"/>
    <w:p w14:paraId="51A78CA1" w14:textId="77777777" w:rsidR="002947B8" w:rsidRPr="007328A9" w:rsidRDefault="002947B8" w:rsidP="002947B8">
      <w:r w:rsidRPr="007328A9">
        <w:br w:type="page"/>
      </w:r>
    </w:p>
    <w:p w14:paraId="0B5B292E" w14:textId="77777777" w:rsidR="001B305A" w:rsidRDefault="001B305A" w:rsidP="001B305A">
      <w:pPr>
        <w:pStyle w:val="Heading1"/>
      </w:pPr>
      <w:r>
        <w:lastRenderedPageBreak/>
        <w:t xml:space="preserve">Background: </w:t>
      </w:r>
    </w:p>
    <w:p w14:paraId="28653E81" w14:textId="77777777" w:rsidR="001B305A" w:rsidRDefault="001B305A" w:rsidP="002947B8">
      <w:pPr>
        <w:rPr>
          <w:sz w:val="24"/>
          <w:szCs w:val="28"/>
        </w:rPr>
      </w:pPr>
    </w:p>
    <w:p w14:paraId="23CADD99" w14:textId="443722D6" w:rsidR="002947B8" w:rsidRPr="00DD1053" w:rsidRDefault="002947B8" w:rsidP="002947B8">
      <w:pPr>
        <w:rPr>
          <w:sz w:val="24"/>
          <w:szCs w:val="28"/>
        </w:rPr>
      </w:pPr>
      <w:r w:rsidRPr="00DD1053">
        <w:rPr>
          <w:sz w:val="24"/>
          <w:szCs w:val="28"/>
        </w:rPr>
        <w:t xml:space="preserve">In a previous contribution </w:t>
      </w:r>
      <w:hyperlink r:id="rId7" w:history="1">
        <w:r w:rsidRPr="00DD1053">
          <w:rPr>
            <w:rStyle w:val="Hyperlink"/>
            <w:sz w:val="24"/>
            <w:szCs w:val="28"/>
          </w:rPr>
          <w:t>11-21/1</w:t>
        </w:r>
        <w:r>
          <w:rPr>
            <w:rStyle w:val="Hyperlink"/>
            <w:sz w:val="24"/>
            <w:szCs w:val="28"/>
          </w:rPr>
          <w:t>003</w:t>
        </w:r>
        <w:r w:rsidRPr="00DD1053">
          <w:rPr>
            <w:rStyle w:val="Hyperlink"/>
            <w:sz w:val="24"/>
            <w:szCs w:val="28"/>
          </w:rPr>
          <w:t>r</w:t>
        </w:r>
      </w:hyperlink>
      <w:r>
        <w:rPr>
          <w:rStyle w:val="Hyperlink"/>
          <w:sz w:val="24"/>
          <w:szCs w:val="28"/>
        </w:rPr>
        <w:t>0</w:t>
      </w:r>
      <w:r w:rsidRPr="00DD1053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an updated spec text was proposed to clarify MCS and </w:t>
      </w:r>
      <w:proofErr w:type="spellStart"/>
      <w:r>
        <w:rPr>
          <w:sz w:val="24"/>
          <w:szCs w:val="28"/>
        </w:rPr>
        <w:t>Nss</w:t>
      </w:r>
      <w:proofErr w:type="spellEnd"/>
      <w:r>
        <w:rPr>
          <w:sz w:val="24"/>
          <w:szCs w:val="28"/>
        </w:rPr>
        <w:t xml:space="preserve"> support in 2.4GHz</w:t>
      </w:r>
      <w:r w:rsidRPr="00DD1053">
        <w:rPr>
          <w:sz w:val="24"/>
          <w:szCs w:val="28"/>
        </w:rPr>
        <w:t xml:space="preserve">. </w:t>
      </w:r>
      <w:r>
        <w:rPr>
          <w:sz w:val="24"/>
          <w:szCs w:val="28"/>
        </w:rPr>
        <w:t>The proposed change was included in D1.2. However, we found there is an error in</w:t>
      </w:r>
      <w:r w:rsidR="00B461A6">
        <w:rPr>
          <w:sz w:val="24"/>
          <w:szCs w:val="28"/>
        </w:rPr>
        <w:t>troduced by</w:t>
      </w:r>
      <w:r>
        <w:rPr>
          <w:sz w:val="24"/>
          <w:szCs w:val="28"/>
        </w:rPr>
        <w:t xml:space="preserve"> the updated text. </w:t>
      </w:r>
      <w:r w:rsidRPr="00DD1053">
        <w:rPr>
          <w:sz w:val="24"/>
          <w:szCs w:val="28"/>
        </w:rPr>
        <w:t xml:space="preserve">This document proposes a </w:t>
      </w:r>
      <w:r w:rsidR="00B461A6">
        <w:rPr>
          <w:sz w:val="24"/>
          <w:szCs w:val="28"/>
        </w:rPr>
        <w:t>change</w:t>
      </w:r>
      <w:r w:rsidRPr="00DD1053">
        <w:rPr>
          <w:sz w:val="24"/>
          <w:szCs w:val="28"/>
        </w:rPr>
        <w:t xml:space="preserve"> to </w:t>
      </w:r>
      <w:r>
        <w:rPr>
          <w:sz w:val="24"/>
          <w:szCs w:val="28"/>
        </w:rPr>
        <w:t xml:space="preserve">fix such error. </w:t>
      </w:r>
    </w:p>
    <w:p w14:paraId="38A3F9A5" w14:textId="77777777" w:rsidR="002947B8" w:rsidRDefault="002947B8" w:rsidP="002947B8"/>
    <w:p w14:paraId="33011002" w14:textId="4ACFDAEB" w:rsidR="00A731B5" w:rsidRDefault="00A731B5" w:rsidP="00A731B5"/>
    <w:p w14:paraId="230E3A12" w14:textId="36C0EF40" w:rsidR="00A731B5" w:rsidRDefault="00A731B5" w:rsidP="00A731B5">
      <w:pPr>
        <w:rPr>
          <w:sz w:val="22"/>
          <w:szCs w:val="24"/>
        </w:rPr>
      </w:pPr>
      <w:r w:rsidRPr="00A731B5">
        <w:rPr>
          <w:sz w:val="22"/>
          <w:szCs w:val="24"/>
        </w:rPr>
        <w:t xml:space="preserve">The </w:t>
      </w:r>
      <w:r w:rsidR="00E04807">
        <w:rPr>
          <w:sz w:val="22"/>
          <w:szCs w:val="24"/>
        </w:rPr>
        <w:t>“</w:t>
      </w:r>
      <w:r w:rsidRPr="00A731B5">
        <w:rPr>
          <w:sz w:val="22"/>
          <w:szCs w:val="24"/>
        </w:rPr>
        <w:t>Suppor</w:t>
      </w:r>
      <w:r>
        <w:rPr>
          <w:sz w:val="22"/>
          <w:szCs w:val="24"/>
        </w:rPr>
        <w:t>ted EHT-MCS And NSS Set</w:t>
      </w:r>
      <w:r w:rsidR="00E04807">
        <w:rPr>
          <w:sz w:val="22"/>
          <w:szCs w:val="24"/>
        </w:rPr>
        <w:t>”</w:t>
      </w:r>
      <w:r>
        <w:rPr>
          <w:sz w:val="22"/>
          <w:szCs w:val="24"/>
        </w:rPr>
        <w:t xml:space="preserve"> field is used to convey what the number of spatial streams and MCS’s are supported for different PPDU bandwidths by a </w:t>
      </w:r>
      <w:proofErr w:type="gramStart"/>
      <w:r>
        <w:rPr>
          <w:sz w:val="22"/>
          <w:szCs w:val="24"/>
        </w:rPr>
        <w:t>STA, and</w:t>
      </w:r>
      <w:proofErr w:type="gramEnd"/>
      <w:r>
        <w:rPr>
          <w:sz w:val="22"/>
          <w:szCs w:val="24"/>
        </w:rPr>
        <w:t xml:space="preserve"> has different format depending on the bandwidth capability of the STA – see Figure 9-1002ah (11be D1.5 P216).</w:t>
      </w:r>
    </w:p>
    <w:p w14:paraId="1235EB4F" w14:textId="3990EBB9" w:rsidR="00A731B5" w:rsidRDefault="00A731B5" w:rsidP="00A731B5">
      <w:pPr>
        <w:rPr>
          <w:sz w:val="22"/>
          <w:szCs w:val="24"/>
        </w:rPr>
      </w:pPr>
    </w:p>
    <w:p w14:paraId="07AFF0A0" w14:textId="03330FD1" w:rsidR="00A731B5" w:rsidRPr="00A731B5" w:rsidRDefault="00A731B5" w:rsidP="00A731B5">
      <w:pPr>
        <w:rPr>
          <w:sz w:val="22"/>
          <w:szCs w:val="24"/>
        </w:rPr>
      </w:pPr>
      <w:r>
        <w:rPr>
          <w:noProof/>
        </w:rPr>
        <w:drawing>
          <wp:inline distT="0" distB="0" distL="0" distR="0" wp14:anchorId="58F27780" wp14:editId="2CC67E7A">
            <wp:extent cx="5943600" cy="1288415"/>
            <wp:effectExtent l="0" t="0" r="0" b="698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B011" w14:textId="4127157F" w:rsidR="002947B8" w:rsidRPr="00A731B5" w:rsidRDefault="002947B8" w:rsidP="002947B8">
      <w:pPr>
        <w:rPr>
          <w:sz w:val="28"/>
          <w:szCs w:val="28"/>
        </w:rPr>
      </w:pPr>
    </w:p>
    <w:p w14:paraId="074FF455" w14:textId="03B1CB94" w:rsidR="00592311" w:rsidRDefault="00CC12AA" w:rsidP="002947B8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2C3006">
        <w:rPr>
          <w:sz w:val="22"/>
          <w:szCs w:val="22"/>
        </w:rPr>
        <w:t>n</w:t>
      </w:r>
      <w:r w:rsidR="00B461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EHT </w:t>
      </w:r>
      <w:r w:rsidR="00B461A6">
        <w:rPr>
          <w:sz w:val="22"/>
          <w:szCs w:val="22"/>
        </w:rPr>
        <w:t xml:space="preserve">AP that supports only 20MHz </w:t>
      </w:r>
      <w:r>
        <w:rPr>
          <w:sz w:val="22"/>
          <w:szCs w:val="22"/>
        </w:rPr>
        <w:t xml:space="preserve">channel width </w:t>
      </w:r>
      <w:r w:rsidR="00B461A6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the </w:t>
      </w:r>
      <w:r w:rsidR="00B461A6">
        <w:rPr>
          <w:sz w:val="22"/>
          <w:szCs w:val="22"/>
        </w:rPr>
        <w:t>2.4 GHz</w:t>
      </w:r>
      <w:r>
        <w:rPr>
          <w:sz w:val="22"/>
          <w:szCs w:val="22"/>
        </w:rPr>
        <w:t xml:space="preserve"> band </w:t>
      </w:r>
      <w:r w:rsidR="008212FD">
        <w:rPr>
          <w:sz w:val="22"/>
          <w:szCs w:val="22"/>
        </w:rPr>
        <w:t xml:space="preserve">(referred to as “20 MHz EHT AP” for the remainder of this document) </w:t>
      </w:r>
      <w:r>
        <w:rPr>
          <w:sz w:val="22"/>
          <w:szCs w:val="22"/>
        </w:rPr>
        <w:t>sets</w:t>
      </w:r>
      <w:r w:rsidR="00B461A6">
        <w:rPr>
          <w:sz w:val="22"/>
          <w:szCs w:val="22"/>
        </w:rPr>
        <w:t xml:space="preserve"> B0 </w:t>
      </w:r>
      <w:r>
        <w:rPr>
          <w:sz w:val="22"/>
          <w:szCs w:val="22"/>
        </w:rPr>
        <w:t xml:space="preserve">of </w:t>
      </w:r>
      <w:r w:rsidR="001B305A">
        <w:rPr>
          <w:sz w:val="22"/>
          <w:szCs w:val="22"/>
        </w:rPr>
        <w:t xml:space="preserve">the </w:t>
      </w:r>
      <w:r w:rsidR="00E04807">
        <w:rPr>
          <w:sz w:val="22"/>
          <w:szCs w:val="22"/>
        </w:rPr>
        <w:t>“</w:t>
      </w:r>
      <w:r w:rsidR="001B305A">
        <w:rPr>
          <w:sz w:val="22"/>
          <w:szCs w:val="22"/>
        </w:rPr>
        <w:t>Supported Channel Width Set</w:t>
      </w:r>
      <w:r w:rsidR="00E04807">
        <w:rPr>
          <w:sz w:val="22"/>
          <w:szCs w:val="22"/>
        </w:rPr>
        <w:t>”</w:t>
      </w:r>
      <w:r w:rsidR="001B305A">
        <w:rPr>
          <w:sz w:val="22"/>
          <w:szCs w:val="22"/>
        </w:rPr>
        <w:t xml:space="preserve"> in the</w:t>
      </w:r>
      <w:r w:rsidR="00B461A6">
        <w:rPr>
          <w:sz w:val="22"/>
          <w:szCs w:val="22"/>
        </w:rPr>
        <w:t xml:space="preserve"> </w:t>
      </w:r>
      <w:r w:rsidR="00E04807">
        <w:rPr>
          <w:sz w:val="22"/>
          <w:szCs w:val="22"/>
        </w:rPr>
        <w:t>“</w:t>
      </w:r>
      <w:r w:rsidR="00B461A6">
        <w:rPr>
          <w:sz w:val="22"/>
          <w:szCs w:val="22"/>
        </w:rPr>
        <w:t xml:space="preserve">HE PHY Capabilities </w:t>
      </w:r>
      <w:r>
        <w:rPr>
          <w:sz w:val="22"/>
          <w:szCs w:val="22"/>
        </w:rPr>
        <w:t>Information</w:t>
      </w:r>
      <w:r w:rsidR="00E04807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B461A6">
        <w:rPr>
          <w:sz w:val="22"/>
          <w:szCs w:val="22"/>
        </w:rPr>
        <w:t xml:space="preserve">field </w:t>
      </w:r>
      <w:r w:rsidR="001B305A">
        <w:rPr>
          <w:sz w:val="22"/>
          <w:szCs w:val="22"/>
        </w:rPr>
        <w:t>of the EHT Capabilities element</w:t>
      </w:r>
      <w:r w:rsidR="00B461A6">
        <w:rPr>
          <w:sz w:val="22"/>
          <w:szCs w:val="22"/>
        </w:rPr>
        <w:t xml:space="preserve"> to 0 </w:t>
      </w:r>
      <w:r>
        <w:rPr>
          <w:sz w:val="22"/>
          <w:szCs w:val="22"/>
        </w:rPr>
        <w:t xml:space="preserve">(see </w:t>
      </w:r>
      <w:proofErr w:type="spellStart"/>
      <w:r>
        <w:rPr>
          <w:sz w:val="22"/>
          <w:szCs w:val="22"/>
        </w:rPr>
        <w:t>REVme</w:t>
      </w:r>
      <w:proofErr w:type="spellEnd"/>
      <w:r>
        <w:rPr>
          <w:sz w:val="22"/>
          <w:szCs w:val="22"/>
        </w:rPr>
        <w:t xml:space="preserve"> D1.2 P1690L24)</w:t>
      </w:r>
      <w:r w:rsidR="00B461A6">
        <w:rPr>
          <w:sz w:val="22"/>
          <w:szCs w:val="22"/>
        </w:rPr>
        <w:t>.</w:t>
      </w:r>
    </w:p>
    <w:p w14:paraId="11B77255" w14:textId="77777777" w:rsidR="00A06F69" w:rsidRDefault="00A06F69" w:rsidP="002947B8">
      <w:pPr>
        <w:rPr>
          <w:sz w:val="22"/>
          <w:szCs w:val="22"/>
        </w:rPr>
      </w:pPr>
    </w:p>
    <w:p w14:paraId="13709290" w14:textId="411D2259" w:rsidR="00B461A6" w:rsidRDefault="008212FD" w:rsidP="002947B8">
      <w:pPr>
        <w:rPr>
          <w:sz w:val="22"/>
          <w:szCs w:val="22"/>
        </w:rPr>
      </w:pPr>
      <w:r>
        <w:rPr>
          <w:sz w:val="22"/>
          <w:szCs w:val="22"/>
        </w:rPr>
        <w:t>Note that</w:t>
      </w:r>
      <w:r w:rsidR="00B461A6">
        <w:rPr>
          <w:sz w:val="22"/>
          <w:szCs w:val="22"/>
        </w:rPr>
        <w:t xml:space="preserve"> the subfield “EHT-MCS Map (BW&lt;=80MHz, </w:t>
      </w:r>
      <w:proofErr w:type="gramStart"/>
      <w:r w:rsidR="00B461A6">
        <w:rPr>
          <w:sz w:val="22"/>
          <w:szCs w:val="22"/>
        </w:rPr>
        <w:t>Except</w:t>
      </w:r>
      <w:proofErr w:type="gramEnd"/>
      <w:r w:rsidR="00B461A6">
        <w:rPr>
          <w:sz w:val="22"/>
          <w:szCs w:val="22"/>
        </w:rPr>
        <w:t xml:space="preserve"> 20 MHz-Only Non-AP STA)” does not exi</w:t>
      </w:r>
      <w:r>
        <w:rPr>
          <w:sz w:val="22"/>
          <w:szCs w:val="22"/>
        </w:rPr>
        <w:t>s</w:t>
      </w:r>
      <w:r w:rsidR="00B461A6">
        <w:rPr>
          <w:sz w:val="22"/>
          <w:szCs w:val="22"/>
        </w:rPr>
        <w:t>t</w:t>
      </w:r>
      <w:r>
        <w:rPr>
          <w:sz w:val="22"/>
          <w:szCs w:val="22"/>
        </w:rPr>
        <w:t xml:space="preserve"> for an AP</w:t>
      </w:r>
      <w:r w:rsidR="00B461A6">
        <w:rPr>
          <w:sz w:val="22"/>
          <w:szCs w:val="22"/>
        </w:rPr>
        <w:t xml:space="preserve"> as indicated in the highlighted section below</w:t>
      </w:r>
      <w:r>
        <w:rPr>
          <w:sz w:val="22"/>
          <w:szCs w:val="22"/>
        </w:rPr>
        <w:t xml:space="preserve"> (D1.5 P218L18)</w:t>
      </w:r>
      <w:r w:rsidR="00B461A6">
        <w:rPr>
          <w:sz w:val="22"/>
          <w:szCs w:val="22"/>
        </w:rPr>
        <w:t xml:space="preserve">. </w:t>
      </w:r>
    </w:p>
    <w:p w14:paraId="216461CE" w14:textId="73F53315" w:rsidR="002947B8" w:rsidRDefault="00B461A6" w:rsidP="002947B8">
      <w:r>
        <w:rPr>
          <w:noProof/>
        </w:rPr>
        <w:drawing>
          <wp:inline distT="0" distB="0" distL="0" distR="0" wp14:anchorId="2C3DD3BB" wp14:editId="0E3277B5">
            <wp:extent cx="5943600" cy="3694430"/>
            <wp:effectExtent l="0" t="0" r="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5AF15" w14:textId="2986D3BC" w:rsidR="008212FD" w:rsidRDefault="008212FD" w:rsidP="002947B8"/>
    <w:p w14:paraId="20DC10C3" w14:textId="6480E9A2" w:rsidR="008212FD" w:rsidRDefault="008212FD" w:rsidP="008212FD">
      <w:pPr>
        <w:rPr>
          <w:sz w:val="22"/>
          <w:szCs w:val="22"/>
        </w:rPr>
      </w:pPr>
      <w:r>
        <w:rPr>
          <w:sz w:val="22"/>
          <w:szCs w:val="22"/>
        </w:rPr>
        <w:lastRenderedPageBreak/>
        <w:t>Furthermore, “EHT-MCS Map (20 MHz-Only Non-AP STA)” is used only by 20 MHz-Only Non-AP STA, hence is not present for an AP.</w:t>
      </w:r>
    </w:p>
    <w:p w14:paraId="357BC096" w14:textId="70E1472D" w:rsidR="008212FD" w:rsidRPr="00F92097" w:rsidRDefault="008212FD" w:rsidP="008212FD">
      <w:pPr>
        <w:rPr>
          <w:sz w:val="22"/>
          <w:szCs w:val="22"/>
        </w:rPr>
      </w:pPr>
      <w:r>
        <w:rPr>
          <w:sz w:val="22"/>
          <w:szCs w:val="22"/>
        </w:rPr>
        <w:t>This results in a situation where a 20MHz EHT AP will not have any subfields in the EHT-MCS And NSS Set field.</w:t>
      </w:r>
    </w:p>
    <w:p w14:paraId="64116CEB" w14:textId="77777777" w:rsidR="001704BC" w:rsidRPr="00A548F8" w:rsidRDefault="001704BC" w:rsidP="001704BC">
      <w:pPr>
        <w:rPr>
          <w:sz w:val="22"/>
          <w:szCs w:val="22"/>
        </w:rPr>
      </w:pPr>
    </w:p>
    <w:p w14:paraId="0B8C6AA9" w14:textId="2FA015A1" w:rsidR="001704BC" w:rsidRDefault="001704BC" w:rsidP="001704BC">
      <w:pPr>
        <w:rPr>
          <w:sz w:val="22"/>
          <w:szCs w:val="22"/>
        </w:rPr>
      </w:pPr>
      <w:r w:rsidRPr="00A548F8">
        <w:rPr>
          <w:sz w:val="22"/>
          <w:szCs w:val="22"/>
        </w:rPr>
        <w:t xml:space="preserve">Note that it is mandatory for an EHT AP to support MCS0-9.  And the EHT-MCS Map (20 MHz-Only Non-AP STA)” is designed to allow </w:t>
      </w:r>
      <w:r w:rsidR="008212FD">
        <w:rPr>
          <w:sz w:val="22"/>
          <w:szCs w:val="22"/>
        </w:rPr>
        <w:t>indicating</w:t>
      </w:r>
      <w:r w:rsidRPr="00A548F8">
        <w:rPr>
          <w:sz w:val="22"/>
          <w:szCs w:val="22"/>
        </w:rPr>
        <w:t xml:space="preserve"> no support for MCS 8-9 (for the 20 MHz-only non-AP STA).  Hence, it is not appropriate to be used by the 20 MHz EHT AP.</w:t>
      </w:r>
    </w:p>
    <w:p w14:paraId="24E48F77" w14:textId="77777777" w:rsidR="001704BC" w:rsidRDefault="001704BC" w:rsidP="001704BC">
      <w:pPr>
        <w:rPr>
          <w:sz w:val="22"/>
          <w:szCs w:val="22"/>
        </w:rPr>
      </w:pPr>
    </w:p>
    <w:p w14:paraId="6F60994D" w14:textId="57163565" w:rsidR="001704BC" w:rsidRPr="00A548F8" w:rsidRDefault="008212FD" w:rsidP="001704BC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1704BC">
        <w:rPr>
          <w:sz w:val="22"/>
          <w:szCs w:val="22"/>
        </w:rPr>
        <w:t>he proposed fix</w:t>
      </w:r>
      <w:r>
        <w:rPr>
          <w:sz w:val="22"/>
          <w:szCs w:val="22"/>
        </w:rPr>
        <w:t>, therefore,</w:t>
      </w:r>
      <w:r w:rsidR="001704BC">
        <w:rPr>
          <w:sz w:val="22"/>
          <w:szCs w:val="22"/>
        </w:rPr>
        <w:t xml:space="preserve"> is to have the 20 MHz EHT AP to use the “</w:t>
      </w:r>
      <w:r w:rsidR="001704BC" w:rsidRPr="00A548F8">
        <w:rPr>
          <w:rFonts w:hint="eastAsia"/>
          <w:sz w:val="22"/>
          <w:szCs w:val="22"/>
        </w:rPr>
        <w:t xml:space="preserve">EHT-MCS Map (BW </w:t>
      </w:r>
      <w:r w:rsidR="001704BC" w:rsidRPr="00A548F8">
        <w:rPr>
          <w:rFonts w:hint="eastAsia"/>
          <w:sz w:val="22"/>
          <w:szCs w:val="22"/>
        </w:rPr>
        <w:t>≤</w:t>
      </w:r>
      <w:r w:rsidR="001704BC" w:rsidRPr="00A548F8">
        <w:rPr>
          <w:rFonts w:hint="eastAsia"/>
          <w:sz w:val="22"/>
          <w:szCs w:val="22"/>
        </w:rPr>
        <w:t xml:space="preserve"> 80 MHz, </w:t>
      </w:r>
      <w:proofErr w:type="gramStart"/>
      <w:r w:rsidR="001704BC" w:rsidRPr="00A548F8">
        <w:rPr>
          <w:rFonts w:hint="eastAsia"/>
          <w:sz w:val="22"/>
          <w:szCs w:val="22"/>
        </w:rPr>
        <w:t>Except</w:t>
      </w:r>
      <w:proofErr w:type="gramEnd"/>
      <w:r w:rsidR="001704BC" w:rsidRPr="00A548F8">
        <w:rPr>
          <w:rFonts w:hint="eastAsia"/>
          <w:sz w:val="22"/>
          <w:szCs w:val="22"/>
        </w:rPr>
        <w:t xml:space="preserve"> 20 MHz-Only Non-AP STA)</w:t>
      </w:r>
      <w:r w:rsidR="001704BC" w:rsidRPr="00A548F8">
        <w:rPr>
          <w:rFonts w:hint="eastAsia"/>
          <w:sz w:val="22"/>
          <w:szCs w:val="22"/>
        </w:rPr>
        <w:t>”</w:t>
      </w:r>
      <w:r w:rsidR="001704BC">
        <w:rPr>
          <w:rFonts w:hint="eastAsia"/>
          <w:sz w:val="22"/>
          <w:szCs w:val="22"/>
        </w:rPr>
        <w:t xml:space="preserve"> </w:t>
      </w:r>
      <w:r w:rsidR="001704BC">
        <w:rPr>
          <w:sz w:val="22"/>
          <w:szCs w:val="22"/>
        </w:rPr>
        <w:t xml:space="preserve">subfield to indicate its </w:t>
      </w:r>
      <w:proofErr w:type="spellStart"/>
      <w:r w:rsidR="001704BC">
        <w:rPr>
          <w:sz w:val="22"/>
          <w:szCs w:val="22"/>
        </w:rPr>
        <w:t>Nss</w:t>
      </w:r>
      <w:proofErr w:type="spellEnd"/>
      <w:r w:rsidR="001704BC">
        <w:rPr>
          <w:sz w:val="22"/>
          <w:szCs w:val="22"/>
        </w:rPr>
        <w:t xml:space="preserve"> and MCS capabilities.</w:t>
      </w:r>
    </w:p>
    <w:p w14:paraId="2A2C4E76" w14:textId="77777777" w:rsidR="001704BC" w:rsidRDefault="001704BC" w:rsidP="002947B8"/>
    <w:p w14:paraId="2308D130" w14:textId="01284F1C" w:rsidR="002947B8" w:rsidRDefault="00B07DCB" w:rsidP="002947B8">
      <w:pPr>
        <w:pStyle w:val="Heading1"/>
      </w:pPr>
      <w:r>
        <w:t xml:space="preserve">Proposed </w:t>
      </w:r>
      <w:r w:rsidR="00A548F8">
        <w:t xml:space="preserve">text </w:t>
      </w:r>
      <w:r>
        <w:t>change</w:t>
      </w:r>
    </w:p>
    <w:p w14:paraId="3CB656D4" w14:textId="6453C0A5" w:rsidR="002947B8" w:rsidRDefault="002947B8" w:rsidP="00B07DCB">
      <w:pPr>
        <w:rPr>
          <w:sz w:val="22"/>
          <w:szCs w:val="24"/>
        </w:rPr>
      </w:pPr>
      <w:r w:rsidRPr="00D40553">
        <w:rPr>
          <w:sz w:val="22"/>
          <w:szCs w:val="24"/>
        </w:rPr>
        <w:t xml:space="preserve"> </w:t>
      </w:r>
    </w:p>
    <w:p w14:paraId="4D8830A6" w14:textId="0C932499" w:rsidR="00B07DCB" w:rsidRDefault="00B07DCB" w:rsidP="00B07DCB">
      <w:pPr>
        <w:rPr>
          <w:sz w:val="22"/>
          <w:szCs w:val="24"/>
        </w:rPr>
      </w:pPr>
    </w:p>
    <w:p w14:paraId="03EFC2A0" w14:textId="026B67BF" w:rsidR="001704BC" w:rsidRDefault="001704BC" w:rsidP="00B07DCB">
      <w:pPr>
        <w:rPr>
          <w:i/>
          <w:iCs/>
          <w:sz w:val="22"/>
          <w:szCs w:val="24"/>
        </w:rPr>
      </w:pPr>
      <w:r>
        <w:rPr>
          <w:i/>
          <w:iCs/>
          <w:sz w:val="22"/>
          <w:szCs w:val="24"/>
        </w:rPr>
        <w:t xml:space="preserve">Instruction to </w:t>
      </w:r>
      <w:proofErr w:type="spellStart"/>
      <w:r>
        <w:rPr>
          <w:i/>
          <w:iCs/>
          <w:sz w:val="22"/>
          <w:szCs w:val="24"/>
        </w:rPr>
        <w:t>TGbe</w:t>
      </w:r>
      <w:proofErr w:type="spellEnd"/>
      <w:r>
        <w:rPr>
          <w:i/>
          <w:iCs/>
          <w:sz w:val="22"/>
          <w:szCs w:val="24"/>
        </w:rPr>
        <w:t xml:space="preserve"> Editor:  Update Table 9-401m at D1.5 P218L12 as shown below.</w:t>
      </w:r>
    </w:p>
    <w:p w14:paraId="6D77CB46" w14:textId="77777777" w:rsidR="001704BC" w:rsidRPr="001704BC" w:rsidRDefault="001704BC" w:rsidP="00B07DCB">
      <w:pPr>
        <w:rPr>
          <w:i/>
          <w:iCs/>
          <w:sz w:val="22"/>
          <w:szCs w:val="24"/>
        </w:rPr>
      </w:pPr>
    </w:p>
    <w:p w14:paraId="151F0660" w14:textId="500D6577" w:rsidR="00E2543E" w:rsidRDefault="00E2543E" w:rsidP="00E2543E">
      <w:pPr>
        <w:pStyle w:val="BodyText"/>
        <w:kinsoku w:val="0"/>
        <w:overflowPunct w:val="0"/>
        <w:spacing w:before="102"/>
        <w:ind w:left="943" w:right="1016"/>
        <w:jc w:val="center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9-401m—Subfields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Supported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EHT-MCS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NSS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Set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62445D00" w14:textId="77777777" w:rsidR="00E2543E" w:rsidRDefault="00E2543E" w:rsidP="00E2543E">
      <w:pPr>
        <w:pStyle w:val="BodyText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8599" w:type="dxa"/>
        <w:tblInd w:w="1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3000"/>
        <w:gridCol w:w="3400"/>
      </w:tblGrid>
      <w:tr w:rsidR="00E2543E" w14:paraId="7E8ADA50" w14:textId="77777777" w:rsidTr="00B929F3">
        <w:trPr>
          <w:trHeight w:val="380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3B0B7D1" w14:textId="77777777" w:rsidR="00E2543E" w:rsidRDefault="00E2543E" w:rsidP="007C745B">
            <w:pPr>
              <w:pStyle w:val="TableParagraph"/>
              <w:kinsoku w:val="0"/>
              <w:overflowPunct w:val="0"/>
              <w:spacing w:before="76"/>
              <w:ind w:left="762" w:right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5D88BF91" w14:textId="77777777" w:rsidR="00E2543E" w:rsidRDefault="00E2543E" w:rsidP="007C745B">
            <w:pPr>
              <w:pStyle w:val="TableParagraph"/>
              <w:kinsoku w:val="0"/>
              <w:overflowPunct w:val="0"/>
              <w:spacing w:before="76"/>
              <w:ind w:left="1102" w:right="10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29F437" w14:textId="77777777" w:rsidR="00E2543E" w:rsidRDefault="00E2543E" w:rsidP="007C745B">
            <w:pPr>
              <w:pStyle w:val="TableParagraph"/>
              <w:kinsoku w:val="0"/>
              <w:overflowPunct w:val="0"/>
              <w:spacing w:before="76"/>
              <w:ind w:left="1315" w:right="12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B929F3" w14:paraId="1CE01616" w14:textId="77777777" w:rsidTr="00B929F3">
        <w:trPr>
          <w:trHeight w:val="5100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647EADC" w14:textId="77777777" w:rsidR="00B929F3" w:rsidRDefault="00B929F3" w:rsidP="00B929F3">
            <w:pPr>
              <w:pStyle w:val="TableParagraph"/>
              <w:kinsoku w:val="0"/>
              <w:overflowPunct w:val="0"/>
              <w:spacing w:before="3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2B0C6855" w14:textId="01F7EC49" w:rsidR="00B929F3" w:rsidRDefault="00B929F3" w:rsidP="00B929F3">
            <w:pPr>
              <w:pStyle w:val="TableParagraph"/>
              <w:kinsoku w:val="0"/>
              <w:overflowPunct w:val="0"/>
              <w:spacing w:before="1" w:line="232" w:lineRule="auto"/>
              <w:ind w:left="116" w:right="325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(BW ≤ 80 MHz, Except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39AA6" w14:textId="0B965263" w:rsidR="00B929F3" w:rsidRDefault="00B929F3" w:rsidP="00B929F3">
            <w:pPr>
              <w:pStyle w:val="TableParagraph"/>
              <w:kinsoku w:val="0"/>
              <w:overflowPunct w:val="0"/>
              <w:spacing w:before="41" w:line="232" w:lineRule="auto"/>
              <w:ind w:left="130" w:right="9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 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proofErr w:type="spellEnd"/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value,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 MHz, or 80 MHz with the follow-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additional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restrictions:</w:t>
            </w:r>
          </w:p>
          <w:p w14:paraId="42308DBE" w14:textId="77777777" w:rsidR="00B929F3" w:rsidRDefault="00B929F3" w:rsidP="00B929F3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kinsoku w:val="0"/>
              <w:overflowPunct w:val="0"/>
              <w:spacing w:line="230" w:lineRule="auto"/>
              <w:ind w:right="178" w:hanging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the transmission 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1024-QAM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4096-QAM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</w:p>
          <w:p w14:paraId="5BBA8597" w14:textId="77777777" w:rsidR="00B929F3" w:rsidRDefault="00B929F3" w:rsidP="00B929F3">
            <w:pPr>
              <w:pStyle w:val="TableParagraph"/>
              <w:kinsoku w:val="0"/>
              <w:overflowPunct w:val="0"/>
              <w:spacing w:line="232" w:lineRule="auto"/>
              <w:ind w:left="5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26-,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52-,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106-tone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 a 52+26-tone and 106+26-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tone MRU is indicated jointly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the Tx 1024-QAM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4096-QAM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242-tone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subfield.</w:t>
            </w:r>
          </w:p>
          <w:p w14:paraId="1DA3C8C6" w14:textId="77777777" w:rsidR="00B929F3" w:rsidRDefault="00B929F3" w:rsidP="00B929F3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kinsoku w:val="0"/>
              <w:overflowPunct w:val="0"/>
              <w:spacing w:line="232" w:lineRule="auto"/>
              <w:ind w:right="178" w:hanging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the reception 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1024-QAM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4096-QAM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</w:p>
          <w:p w14:paraId="2F5A2262" w14:textId="77777777" w:rsidR="00B929F3" w:rsidRDefault="00B929F3" w:rsidP="00B929F3">
            <w:pPr>
              <w:pStyle w:val="TableParagraph"/>
              <w:kinsoku w:val="0"/>
              <w:overflowPunct w:val="0"/>
              <w:spacing w:line="232" w:lineRule="auto"/>
              <w:ind w:left="5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26-,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52-,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106-tone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 a 52+26-tone and 106+26-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tone MRU is indicated jointly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the Rx 1024-QAM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4096-QAM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242-tone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subfield.</w:t>
            </w:r>
          </w:p>
          <w:p w14:paraId="2FE5C3E6" w14:textId="77777777" w:rsidR="00B929F3" w:rsidRDefault="00B929F3" w:rsidP="00B929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990E2C" w14:textId="77777777" w:rsidR="00B929F3" w:rsidRDefault="00B929F3" w:rsidP="00B929F3">
            <w:pPr>
              <w:pStyle w:val="TableParagraph"/>
              <w:kinsoku w:val="0"/>
              <w:overflowPunct w:val="0"/>
              <w:spacing w:line="232" w:lineRule="auto"/>
              <w:ind w:left="130" w:right="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 or 80 MHz operating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STA, additionally indicates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supported for reception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that the non-AP STA can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or 320 MHz with the following </w:t>
            </w:r>
            <w:proofErr w:type="spellStart"/>
            <w:r>
              <w:rPr>
                <w:sz w:val="18"/>
                <w:szCs w:val="18"/>
              </w:rPr>
              <w:t>addi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tional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restrictions:</w:t>
            </w:r>
          </w:p>
          <w:p w14:paraId="36C169A1" w14:textId="77777777" w:rsidR="00B929F3" w:rsidRDefault="00B929F3" w:rsidP="00B929F3">
            <w:pPr>
              <w:pStyle w:val="TableParagraph"/>
              <w:numPr>
                <w:ilvl w:val="0"/>
                <w:numId w:val="4"/>
              </w:numPr>
              <w:tabs>
                <w:tab w:val="left" w:pos="524"/>
              </w:tabs>
              <w:kinsoku w:val="0"/>
              <w:overflowPunct w:val="0"/>
              <w:spacing w:line="232" w:lineRule="auto"/>
              <w:ind w:left="533" w:right="239" w:hanging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the reception 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1024-QAM in a 160 MHz,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</w:p>
          <w:p w14:paraId="34FE0F72" w14:textId="77777777" w:rsidR="00B929F3" w:rsidRDefault="00B929F3" w:rsidP="00B929F3">
            <w:pPr>
              <w:pStyle w:val="TableParagraph"/>
              <w:kinsoku w:val="0"/>
              <w:overflowPunct w:val="0"/>
              <w:spacing w:line="232" w:lineRule="auto"/>
              <w:ind w:left="533" w:righ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indicated jointly with the Rx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1024-QAM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Wider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Bandwidth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subfield.</w:t>
            </w:r>
          </w:p>
          <w:p w14:paraId="11A3469C" w14:textId="77777777" w:rsidR="00B929F3" w:rsidRDefault="00B929F3" w:rsidP="00B929F3">
            <w:pPr>
              <w:pStyle w:val="TableParagraph"/>
              <w:numPr>
                <w:ilvl w:val="0"/>
                <w:numId w:val="4"/>
              </w:numPr>
              <w:tabs>
                <w:tab w:val="left" w:pos="524"/>
              </w:tabs>
              <w:kinsoku w:val="0"/>
              <w:overflowPunct w:val="0"/>
              <w:spacing w:line="232" w:lineRule="auto"/>
              <w:ind w:left="533" w:right="239" w:hanging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the reception 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4096-QAM in a 160 MHz,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</w:p>
          <w:p w14:paraId="34F07582" w14:textId="3FD87902" w:rsidR="00B929F3" w:rsidRDefault="00B929F3" w:rsidP="00B929F3">
            <w:pPr>
              <w:pStyle w:val="TableParagraph"/>
              <w:kinsoku w:val="0"/>
              <w:overflowPunct w:val="0"/>
              <w:spacing w:line="232" w:lineRule="auto"/>
              <w:ind w:left="570" w:righ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indicated jointly with the Rx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4096-QAM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Wider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Bandwidth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subfield.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B4540D" w14:textId="3FF66C0E" w:rsidR="00B929F3" w:rsidRDefault="00B929F3" w:rsidP="00B929F3">
            <w:pPr>
              <w:pStyle w:val="TableParagraph"/>
              <w:kinsoku w:val="0"/>
              <w:overflowPunct w:val="0"/>
              <w:spacing w:before="41" w:line="232" w:lineRule="auto"/>
              <w:ind w:left="117" w:right="2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75" w:history="1">
              <w:r>
                <w:rPr>
                  <w:color w:val="000000"/>
                  <w:sz w:val="18"/>
                  <w:szCs w:val="18"/>
                </w:rPr>
                <w:t>Figure 9-1002aj</w:t>
              </w:r>
            </w:hyperlink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hyperlink w:anchor="bookmark175" w:history="1">
              <w:r>
                <w:rPr>
                  <w:color w:val="000000"/>
                  <w:sz w:val="18"/>
                  <w:szCs w:val="18"/>
                </w:rPr>
                <w:t>(EHT-MCS</w:t>
              </w:r>
              <w:r>
                <w:rPr>
                  <w:color w:val="000000"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Map</w:t>
              </w:r>
              <w:r>
                <w:rPr>
                  <w:color w:val="000000"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(BW</w:t>
              </w:r>
              <w:r>
                <w:rPr>
                  <w:color w:val="000000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≤</w:t>
              </w:r>
              <w:r>
                <w:rPr>
                  <w:color w:val="000000"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80</w:t>
              </w:r>
              <w:r>
                <w:rPr>
                  <w:color w:val="000000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MHz,</w:t>
              </w:r>
              <w:r>
                <w:rPr>
                  <w:color w:val="000000"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Except</w:t>
              </w:r>
              <w:r>
                <w:rPr>
                  <w:color w:val="000000"/>
                  <w:spacing w:val="-42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20 MHz-Only Non-AP STA), EHT-MCS</w:t>
              </w:r>
              <w:r>
                <w:rPr>
                  <w:color w:val="000000"/>
                  <w:spacing w:val="-43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Map</w:t>
              </w:r>
              <w:r>
                <w:rPr>
                  <w:color w:val="000000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(BW</w:t>
              </w:r>
              <w:r>
                <w:rPr>
                  <w:color w:val="000000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=</w:t>
              </w:r>
              <w:r>
                <w:rPr>
                  <w:color w:val="000000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160</w:t>
              </w:r>
              <w:r>
                <w:rPr>
                  <w:color w:val="000000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MHz),</w:t>
              </w:r>
              <w:r>
                <w:rPr>
                  <w:color w:val="000000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and</w:t>
              </w:r>
              <w:r>
                <w:rPr>
                  <w:color w:val="000000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</w:rPr>
                <w:t>EHT-MCS</w:t>
              </w:r>
            </w:hyperlink>
          </w:p>
          <w:p w14:paraId="36093DAE" w14:textId="61D80DA7" w:rsidR="00B929F3" w:rsidRDefault="004D7664" w:rsidP="00B929F3">
            <w:pPr>
              <w:pStyle w:val="TableParagraph"/>
              <w:kinsoku w:val="0"/>
              <w:overflowPunct w:val="0"/>
              <w:spacing w:line="232" w:lineRule="auto"/>
              <w:ind w:left="117" w:right="95"/>
              <w:rPr>
                <w:sz w:val="18"/>
                <w:szCs w:val="18"/>
              </w:rPr>
            </w:pPr>
            <w:hyperlink w:anchor="bookmark175" w:history="1">
              <w:r w:rsidR="00B929F3">
                <w:rPr>
                  <w:sz w:val="18"/>
                  <w:szCs w:val="18"/>
                </w:rPr>
                <w:t>Map (BW = 320 MHz) subfield for</w:t>
              </w:r>
            </w:hyperlink>
            <w:hyperlink w:anchor="bookmark175" w:history="1">
              <w:r w:rsidR="00B929F3">
                <w:rPr>
                  <w:sz w:val="18"/>
                  <w:szCs w:val="18"/>
                </w:rPr>
                <w:t>mat)</w:t>
              </w:r>
              <w:r w:rsidR="00B929F3"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 w:rsidR="00B929F3">
              <w:rPr>
                <w:sz w:val="18"/>
                <w:szCs w:val="18"/>
              </w:rPr>
              <w:t>and</w:t>
            </w:r>
            <w:r w:rsidR="00B929F3">
              <w:rPr>
                <w:spacing w:val="-5"/>
                <w:sz w:val="18"/>
                <w:szCs w:val="18"/>
              </w:rPr>
              <w:t xml:space="preserve"> </w:t>
            </w:r>
            <w:r w:rsidR="00B929F3">
              <w:rPr>
                <w:sz w:val="18"/>
                <w:szCs w:val="18"/>
              </w:rPr>
              <w:t>the</w:t>
            </w:r>
            <w:r w:rsidR="00B929F3">
              <w:rPr>
                <w:spacing w:val="-3"/>
                <w:sz w:val="18"/>
                <w:szCs w:val="18"/>
              </w:rPr>
              <w:t xml:space="preserve"> </w:t>
            </w:r>
            <w:r w:rsidR="00B929F3">
              <w:rPr>
                <w:sz w:val="18"/>
                <w:szCs w:val="18"/>
              </w:rPr>
              <w:t>associated</w:t>
            </w:r>
            <w:r w:rsidR="00B929F3">
              <w:rPr>
                <w:spacing w:val="-4"/>
                <w:sz w:val="18"/>
                <w:szCs w:val="18"/>
              </w:rPr>
              <w:t xml:space="preserve"> </w:t>
            </w:r>
            <w:r w:rsidR="00B929F3">
              <w:rPr>
                <w:sz w:val="18"/>
                <w:szCs w:val="18"/>
              </w:rPr>
              <w:t>description.</w:t>
            </w:r>
          </w:p>
          <w:p w14:paraId="1B901694" w14:textId="77777777" w:rsidR="00B929F3" w:rsidRDefault="00B929F3" w:rsidP="00B929F3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986193" w14:textId="4F940958" w:rsidR="00BA775D" w:rsidRDefault="00BA775D" w:rsidP="00B929F3">
            <w:pPr>
              <w:pStyle w:val="TableParagraph"/>
              <w:kinsoku w:val="0"/>
              <w:overflowPunct w:val="0"/>
              <w:spacing w:line="232" w:lineRule="auto"/>
              <w:ind w:left="117"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AP, this field is always present.</w:t>
            </w:r>
          </w:p>
          <w:p w14:paraId="19198778" w14:textId="77777777" w:rsidR="00BA775D" w:rsidRDefault="00BA775D" w:rsidP="00B929F3">
            <w:pPr>
              <w:pStyle w:val="TableParagraph"/>
              <w:kinsoku w:val="0"/>
              <w:overflowPunct w:val="0"/>
              <w:spacing w:line="232" w:lineRule="auto"/>
              <w:ind w:left="117" w:right="126"/>
              <w:rPr>
                <w:sz w:val="18"/>
                <w:szCs w:val="18"/>
              </w:rPr>
            </w:pPr>
          </w:p>
          <w:p w14:paraId="507DA3D2" w14:textId="604F94BC" w:rsidR="00BA775D" w:rsidRDefault="00BA775D" w:rsidP="00B929F3">
            <w:pPr>
              <w:pStyle w:val="TableParagraph"/>
              <w:kinsoku w:val="0"/>
              <w:overflowPunct w:val="0"/>
              <w:spacing w:line="232" w:lineRule="auto"/>
              <w:ind w:left="117"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 non-AP STA:</w:t>
            </w:r>
          </w:p>
          <w:p w14:paraId="01BEE17E" w14:textId="55458DC1" w:rsidR="00B929F3" w:rsidRDefault="00B929F3" w:rsidP="00B10D1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3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 or 6 GHz, if B1 of the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 Width Set field in the HE PHY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0366E15B" w14:textId="26B57643" w:rsidR="00B929F3" w:rsidRDefault="00B929F3" w:rsidP="00B10D1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179" w:line="208" w:lineRule="auto"/>
              <w:ind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otherwise</w:t>
            </w:r>
            <w:proofErr w:type="gram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 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</w:tbl>
    <w:p w14:paraId="69203F08" w14:textId="77777777" w:rsidR="00E2543E" w:rsidRPr="00B07DCB" w:rsidRDefault="00E2543E" w:rsidP="00B07DCB">
      <w:pPr>
        <w:rPr>
          <w:sz w:val="22"/>
          <w:szCs w:val="24"/>
        </w:rPr>
      </w:pPr>
    </w:p>
    <w:sectPr w:rsidR="00E2543E" w:rsidRPr="00B07DC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2BBA" w14:textId="77777777" w:rsidR="00B17371" w:rsidRDefault="00B17371" w:rsidP="002947B8">
      <w:r>
        <w:separator/>
      </w:r>
    </w:p>
  </w:endnote>
  <w:endnote w:type="continuationSeparator" w:id="0">
    <w:p w14:paraId="38BF2685" w14:textId="77777777" w:rsidR="00B17371" w:rsidRDefault="00B17371" w:rsidP="0029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A0B" w14:textId="77777777" w:rsidR="007328A9" w:rsidRPr="007328A9" w:rsidRDefault="00A631B3" w:rsidP="007328A9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sz w:val="24"/>
      </w:rPr>
    </w:pPr>
    <w:r w:rsidRPr="007328A9">
      <w:rPr>
        <w:sz w:val="24"/>
      </w:rPr>
      <w:fldChar w:fldCharType="begin"/>
    </w:r>
    <w:r w:rsidRPr="007328A9">
      <w:rPr>
        <w:sz w:val="24"/>
      </w:rPr>
      <w:instrText xml:space="preserve"> SUBJECT  \* MERGEFORMAT </w:instrText>
    </w:r>
    <w:r w:rsidRPr="007328A9">
      <w:rPr>
        <w:sz w:val="24"/>
      </w:rPr>
      <w:fldChar w:fldCharType="separate"/>
    </w:r>
    <w:r w:rsidRPr="007328A9">
      <w:rPr>
        <w:sz w:val="24"/>
      </w:rPr>
      <w:t>Submission</w:t>
    </w:r>
    <w:r w:rsidRPr="007328A9">
      <w:rPr>
        <w:sz w:val="24"/>
      </w:rPr>
      <w:fldChar w:fldCharType="end"/>
    </w:r>
    <w:r w:rsidRPr="007328A9">
      <w:rPr>
        <w:sz w:val="24"/>
      </w:rPr>
      <w:tab/>
      <w:t xml:space="preserve">page </w:t>
    </w:r>
    <w:r w:rsidRPr="007328A9">
      <w:rPr>
        <w:sz w:val="24"/>
      </w:rPr>
      <w:fldChar w:fldCharType="begin"/>
    </w:r>
    <w:r w:rsidRPr="007328A9">
      <w:rPr>
        <w:sz w:val="24"/>
      </w:rPr>
      <w:instrText xml:space="preserve">page </w:instrText>
    </w:r>
    <w:r w:rsidRPr="007328A9">
      <w:rPr>
        <w:sz w:val="24"/>
      </w:rPr>
      <w:fldChar w:fldCharType="separate"/>
    </w:r>
    <w:r w:rsidRPr="007328A9">
      <w:rPr>
        <w:sz w:val="24"/>
      </w:rPr>
      <w:t>1</w:t>
    </w:r>
    <w:r w:rsidRPr="007328A9">
      <w:rPr>
        <w:noProof/>
        <w:sz w:val="24"/>
      </w:rPr>
      <w:fldChar w:fldCharType="end"/>
    </w:r>
    <w:r w:rsidRPr="007328A9">
      <w:rPr>
        <w:sz w:val="24"/>
      </w:rPr>
      <w:tab/>
    </w:r>
    <w:r w:rsidRPr="007328A9">
      <w:rPr>
        <w:rFonts w:eastAsia="SimSun" w:hint="eastAsia"/>
        <w:sz w:val="24"/>
        <w:lang w:eastAsia="zh-CN"/>
      </w:rPr>
      <w:t xml:space="preserve">          </w:t>
    </w:r>
    <w:r w:rsidRPr="007328A9">
      <w:rPr>
        <w:rFonts w:eastAsia="SimSun"/>
        <w:noProof/>
        <w:sz w:val="21"/>
        <w:szCs w:val="21"/>
        <w:lang w:eastAsia="zh-CN"/>
      </w:rPr>
      <w:fldChar w:fldCharType="begin"/>
    </w:r>
    <w:r w:rsidRPr="007328A9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Pr="007328A9">
      <w:rPr>
        <w:rFonts w:eastAsia="SimSun"/>
        <w:noProof/>
        <w:sz w:val="21"/>
        <w:szCs w:val="21"/>
        <w:lang w:eastAsia="zh-CN"/>
      </w:rPr>
      <w:fldChar w:fldCharType="separate"/>
    </w:r>
    <w:r w:rsidRPr="007328A9">
      <w:rPr>
        <w:rFonts w:eastAsia="SimSun"/>
        <w:noProof/>
        <w:sz w:val="21"/>
        <w:szCs w:val="21"/>
        <w:lang w:eastAsia="zh-CN"/>
      </w:rPr>
      <w:t>Kanke Wu (Qualcomm)</w:t>
    </w:r>
    <w:r w:rsidRPr="007328A9">
      <w:rPr>
        <w:rFonts w:eastAsia="SimSun"/>
        <w:noProof/>
        <w:sz w:val="21"/>
        <w:szCs w:val="21"/>
        <w:lang w:eastAsia="zh-CN"/>
      </w:rPr>
      <w:fldChar w:fldCharType="end"/>
    </w:r>
  </w:p>
  <w:p w14:paraId="68BED1D4" w14:textId="77777777" w:rsidR="007328A9" w:rsidRPr="007328A9" w:rsidRDefault="004D7664" w:rsidP="007328A9"/>
  <w:p w14:paraId="7B849930" w14:textId="77777777" w:rsidR="007328A9" w:rsidRDefault="004D7664" w:rsidP="007328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4B27" w14:textId="77777777" w:rsidR="00B17371" w:rsidRDefault="00B17371" w:rsidP="002947B8">
      <w:r>
        <w:separator/>
      </w:r>
    </w:p>
  </w:footnote>
  <w:footnote w:type="continuationSeparator" w:id="0">
    <w:p w14:paraId="0B0E6D67" w14:textId="77777777" w:rsidR="00B17371" w:rsidRDefault="00B17371" w:rsidP="0029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D8B8" w14:textId="24A283CC" w:rsidR="00093840" w:rsidRPr="007328A9" w:rsidRDefault="00A631B3" w:rsidP="007328A9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rPr>
        <w:b/>
        <w:sz w:val="28"/>
      </w:rPr>
    </w:pPr>
    <w:r w:rsidRPr="007328A9">
      <w:rPr>
        <w:b/>
        <w:sz w:val="28"/>
      </w:rPr>
      <w:fldChar w:fldCharType="begin"/>
    </w:r>
    <w:r w:rsidRPr="007328A9">
      <w:rPr>
        <w:b/>
        <w:sz w:val="28"/>
      </w:rPr>
      <w:instrText xml:space="preserve"> KEYWORDS   \* MERGEFORMAT </w:instrText>
    </w:r>
    <w:r w:rsidRPr="007328A9">
      <w:rPr>
        <w:b/>
        <w:sz w:val="28"/>
      </w:rPr>
      <w:fldChar w:fldCharType="separate"/>
    </w:r>
    <w:r w:rsidRPr="007328A9">
      <w:rPr>
        <w:b/>
        <w:sz w:val="28"/>
      </w:rPr>
      <w:t xml:space="preserve"> </w:t>
    </w:r>
    <w:r w:rsidR="002947B8">
      <w:rPr>
        <w:b/>
        <w:sz w:val="28"/>
      </w:rPr>
      <w:t>May</w:t>
    </w:r>
    <w:r>
      <w:rPr>
        <w:b/>
        <w:sz w:val="28"/>
      </w:rPr>
      <w:t xml:space="preserve"> </w:t>
    </w:r>
    <w:r w:rsidRPr="007328A9">
      <w:rPr>
        <w:b/>
        <w:sz w:val="28"/>
      </w:rPr>
      <w:t>202</w:t>
    </w:r>
    <w:r w:rsidRPr="007328A9">
      <w:rPr>
        <w:b/>
        <w:sz w:val="28"/>
      </w:rPr>
      <w:fldChar w:fldCharType="end"/>
    </w:r>
    <w:r w:rsidR="002947B8">
      <w:rPr>
        <w:b/>
        <w:sz w:val="28"/>
      </w:rPr>
      <w:t>2</w:t>
    </w:r>
    <w:r w:rsidRPr="007328A9">
      <w:rPr>
        <w:b/>
        <w:sz w:val="28"/>
      </w:rPr>
      <w:tab/>
    </w:r>
    <w:r w:rsidRPr="007328A9">
      <w:rPr>
        <w:b/>
        <w:sz w:val="28"/>
      </w:rPr>
      <w:tab/>
    </w:r>
    <w:r w:rsidRPr="007328A9">
      <w:rPr>
        <w:b/>
        <w:sz w:val="28"/>
      </w:rPr>
      <w:fldChar w:fldCharType="begin"/>
    </w:r>
    <w:r w:rsidRPr="007328A9">
      <w:rPr>
        <w:b/>
        <w:sz w:val="28"/>
      </w:rPr>
      <w:instrText xml:space="preserve"> TITLE  \* MERGEFORMAT </w:instrText>
    </w:r>
    <w:r w:rsidRPr="007328A9">
      <w:rPr>
        <w:b/>
        <w:sz w:val="28"/>
      </w:rPr>
      <w:fldChar w:fldCharType="separate"/>
    </w:r>
    <w:r w:rsidRPr="007328A9">
      <w:rPr>
        <w:b/>
        <w:sz w:val="28"/>
      </w:rPr>
      <w:t>doc.: IEEE 802.11-2</w:t>
    </w:r>
    <w:r w:rsidR="002947B8">
      <w:rPr>
        <w:b/>
        <w:sz w:val="28"/>
      </w:rPr>
      <w:t>2</w:t>
    </w:r>
    <w:r w:rsidRPr="007328A9">
      <w:rPr>
        <w:b/>
        <w:sz w:val="28"/>
      </w:rPr>
      <w:t>/</w:t>
    </w:r>
    <w:r w:rsidRPr="007328A9">
      <w:rPr>
        <w:b/>
        <w:sz w:val="28"/>
      </w:rPr>
      <w:fldChar w:fldCharType="end"/>
    </w:r>
    <w:r w:rsidR="004D7664">
      <w:rPr>
        <w:b/>
        <w:sz w:val="28"/>
      </w:rPr>
      <w:t>0711r0</w:t>
    </w:r>
  </w:p>
  <w:p w14:paraId="58B5B94C" w14:textId="77777777" w:rsidR="007328A9" w:rsidRDefault="004D7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4"/>
    <w:multiLevelType w:val="multilevel"/>
    <w:tmpl w:val="FFFFFFFF"/>
    <w:lvl w:ilvl="0">
      <w:numFmt w:val="bullet"/>
      <w:lvlText w:val="—"/>
      <w:lvlJc w:val="left"/>
      <w:pPr>
        <w:ind w:left="570" w:hanging="2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80" w:hanging="225"/>
      </w:pPr>
    </w:lvl>
    <w:lvl w:ilvl="2">
      <w:numFmt w:val="bullet"/>
      <w:lvlText w:val="•"/>
      <w:lvlJc w:val="left"/>
      <w:pPr>
        <w:ind w:left="1115" w:hanging="225"/>
      </w:pPr>
    </w:lvl>
    <w:lvl w:ilvl="3">
      <w:numFmt w:val="bullet"/>
      <w:lvlText w:val="•"/>
      <w:lvlJc w:val="left"/>
      <w:pPr>
        <w:ind w:left="1350" w:hanging="225"/>
      </w:pPr>
    </w:lvl>
    <w:lvl w:ilvl="4">
      <w:numFmt w:val="bullet"/>
      <w:lvlText w:val="•"/>
      <w:lvlJc w:val="left"/>
      <w:pPr>
        <w:ind w:left="1585" w:hanging="225"/>
      </w:pPr>
    </w:lvl>
    <w:lvl w:ilvl="5">
      <w:numFmt w:val="bullet"/>
      <w:lvlText w:val="•"/>
      <w:lvlJc w:val="left"/>
      <w:pPr>
        <w:ind w:left="1820" w:hanging="225"/>
      </w:pPr>
    </w:lvl>
    <w:lvl w:ilvl="6">
      <w:numFmt w:val="bullet"/>
      <w:lvlText w:val="•"/>
      <w:lvlJc w:val="left"/>
      <w:pPr>
        <w:ind w:left="2055" w:hanging="225"/>
      </w:pPr>
    </w:lvl>
    <w:lvl w:ilvl="7">
      <w:numFmt w:val="bullet"/>
      <w:lvlText w:val="•"/>
      <w:lvlJc w:val="left"/>
      <w:pPr>
        <w:ind w:left="2290" w:hanging="225"/>
      </w:pPr>
    </w:lvl>
    <w:lvl w:ilvl="8">
      <w:numFmt w:val="bullet"/>
      <w:lvlText w:val="•"/>
      <w:lvlJc w:val="left"/>
      <w:pPr>
        <w:ind w:left="2525" w:hanging="225"/>
      </w:pPr>
    </w:lvl>
  </w:abstractNum>
  <w:abstractNum w:abstractNumId="1" w15:restartNumberingAfterBreak="0">
    <w:nsid w:val="00000425"/>
    <w:multiLevelType w:val="multilevel"/>
    <w:tmpl w:val="FFFFFFFF"/>
    <w:lvl w:ilvl="0">
      <w:numFmt w:val="bullet"/>
      <w:lvlText w:val="—"/>
      <w:lvlJc w:val="left"/>
      <w:pPr>
        <w:ind w:left="560" w:hanging="2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03" w:hanging="226"/>
      </w:pPr>
    </w:lvl>
    <w:lvl w:ilvl="2">
      <w:numFmt w:val="bullet"/>
      <w:lvlText w:val="•"/>
      <w:lvlJc w:val="left"/>
      <w:pPr>
        <w:ind w:left="1047" w:hanging="226"/>
      </w:pPr>
    </w:lvl>
    <w:lvl w:ilvl="3">
      <w:numFmt w:val="bullet"/>
      <w:lvlText w:val="•"/>
      <w:lvlJc w:val="left"/>
      <w:pPr>
        <w:ind w:left="1290" w:hanging="226"/>
      </w:pPr>
    </w:lvl>
    <w:lvl w:ilvl="4">
      <w:numFmt w:val="bullet"/>
      <w:lvlText w:val="•"/>
      <w:lvlJc w:val="left"/>
      <w:pPr>
        <w:ind w:left="1534" w:hanging="226"/>
      </w:pPr>
    </w:lvl>
    <w:lvl w:ilvl="5">
      <w:numFmt w:val="bullet"/>
      <w:lvlText w:val="•"/>
      <w:lvlJc w:val="left"/>
      <w:pPr>
        <w:ind w:left="1777" w:hanging="226"/>
      </w:pPr>
    </w:lvl>
    <w:lvl w:ilvl="6">
      <w:numFmt w:val="bullet"/>
      <w:lvlText w:val="•"/>
      <w:lvlJc w:val="left"/>
      <w:pPr>
        <w:ind w:left="2021" w:hanging="226"/>
      </w:pPr>
    </w:lvl>
    <w:lvl w:ilvl="7">
      <w:numFmt w:val="bullet"/>
      <w:lvlText w:val="•"/>
      <w:lvlJc w:val="left"/>
      <w:pPr>
        <w:ind w:left="2264" w:hanging="226"/>
      </w:pPr>
    </w:lvl>
    <w:lvl w:ilvl="8">
      <w:numFmt w:val="bullet"/>
      <w:lvlText w:val="•"/>
      <w:lvlJc w:val="left"/>
      <w:pPr>
        <w:ind w:left="2508" w:hanging="226"/>
      </w:pPr>
    </w:lvl>
  </w:abstractNum>
  <w:abstractNum w:abstractNumId="2" w15:restartNumberingAfterBreak="0">
    <w:nsid w:val="03300141"/>
    <w:multiLevelType w:val="hybridMultilevel"/>
    <w:tmpl w:val="F56A8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E50D76"/>
    <w:multiLevelType w:val="hybridMultilevel"/>
    <w:tmpl w:val="2F7034B0"/>
    <w:lvl w:ilvl="0" w:tplc="309ADC34">
      <w:start w:val="160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B8"/>
    <w:rsid w:val="001704BC"/>
    <w:rsid w:val="001B305A"/>
    <w:rsid w:val="0028654F"/>
    <w:rsid w:val="002947B8"/>
    <w:rsid w:val="002C3006"/>
    <w:rsid w:val="004D7664"/>
    <w:rsid w:val="00592311"/>
    <w:rsid w:val="005E4FEE"/>
    <w:rsid w:val="006827ED"/>
    <w:rsid w:val="00804E83"/>
    <w:rsid w:val="0080572C"/>
    <w:rsid w:val="008212FD"/>
    <w:rsid w:val="009A55C9"/>
    <w:rsid w:val="00A06F69"/>
    <w:rsid w:val="00A548F8"/>
    <w:rsid w:val="00A631B3"/>
    <w:rsid w:val="00A731B5"/>
    <w:rsid w:val="00B07DCB"/>
    <w:rsid w:val="00B10D13"/>
    <w:rsid w:val="00B17371"/>
    <w:rsid w:val="00B461A6"/>
    <w:rsid w:val="00B663B0"/>
    <w:rsid w:val="00B929F3"/>
    <w:rsid w:val="00BA775D"/>
    <w:rsid w:val="00C430F4"/>
    <w:rsid w:val="00C76A23"/>
    <w:rsid w:val="00CC12AA"/>
    <w:rsid w:val="00CF713B"/>
    <w:rsid w:val="00D2004D"/>
    <w:rsid w:val="00E04807"/>
    <w:rsid w:val="00E2543E"/>
    <w:rsid w:val="00E369D1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A9F7"/>
  <w15:chartTrackingRefBased/>
  <w15:docId w15:val="{E7ACBC42-60D6-4EF4-85DC-8D4BE6EB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B8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947B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7B8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table" w:styleId="TableGrid">
    <w:name w:val="Table Grid"/>
    <w:basedOn w:val="TableNormal"/>
    <w:rsid w:val="002947B8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94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7B8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94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7B8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947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47B8"/>
    <w:pPr>
      <w:ind w:left="720"/>
      <w:contextualSpacing/>
    </w:pPr>
    <w:rPr>
      <w:rFonts w:eastAsiaTheme="minorEastAsia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94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7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7B8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006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6F8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2543E"/>
    <w:pPr>
      <w:widowControl w:val="0"/>
      <w:autoSpaceDE w:val="0"/>
      <w:autoSpaceDN w:val="0"/>
      <w:adjustRightInd w:val="0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1"/>
    <w:rsid w:val="00E2543E"/>
    <w:rPr>
      <w:rFonts w:ascii="Times New Roman" w:hAnsi="Times New Roman" w:cs="Times New Roman"/>
      <w:sz w:val="20"/>
      <w:szCs w:val="2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E2543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1/11-21-1003-00-00be-pdt-for-supported-eht-mcs-and-nss-set-field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9</cp:revision>
  <dcterms:created xsi:type="dcterms:W3CDTF">2022-05-09T00:16:00Z</dcterms:created>
  <dcterms:modified xsi:type="dcterms:W3CDTF">2022-05-09T00:39:00Z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c70fe5-2ee7-4fdf-9966-598577a1d1a6_Enabled">
    <vt:lpwstr>true</vt:lpwstr>
  </property>
  <property fmtid="{D5CDD505-2E9C-101B-9397-08002B2CF9AE}" pid="3" name="MSIP_Label_29c70fe5-2ee7-4fdf-9966-598577a1d1a6_SetDate">
    <vt:lpwstr>2022-05-06T23:16:28Z</vt:lpwstr>
  </property>
  <property fmtid="{D5CDD505-2E9C-101B-9397-08002B2CF9AE}" pid="4" name="MSIP_Label_29c70fe5-2ee7-4fdf-9966-598577a1d1a6_Method">
    <vt:lpwstr>Privileged</vt:lpwstr>
  </property>
  <property fmtid="{D5CDD505-2E9C-101B-9397-08002B2CF9AE}" pid="5" name="MSIP_Label_29c70fe5-2ee7-4fdf-9966-598577a1d1a6_Name">
    <vt:lpwstr>Personal</vt:lpwstr>
  </property>
  <property fmtid="{D5CDD505-2E9C-101B-9397-08002B2CF9AE}" pid="6" name="MSIP_Label_29c70fe5-2ee7-4fdf-9966-598577a1d1a6_SiteId">
    <vt:lpwstr>98e9ba89-e1a1-4e38-9007-8bdabc25de1d</vt:lpwstr>
  </property>
  <property fmtid="{D5CDD505-2E9C-101B-9397-08002B2CF9AE}" pid="7" name="MSIP_Label_29c70fe5-2ee7-4fdf-9966-598577a1d1a6_ActionId">
    <vt:lpwstr>119d2285-8b3e-4316-9326-e5c2b8741a91</vt:lpwstr>
  </property>
  <property fmtid="{D5CDD505-2E9C-101B-9397-08002B2CF9AE}" pid="8" name="MSIP_Label_29c70fe5-2ee7-4fdf-9966-598577a1d1a6_ContentBits">
    <vt:lpwstr>0</vt:lpwstr>
  </property>
</Properties>
</file>