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57DC0BC5"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 xml:space="preserve">Resolutions to </w:t>
            </w:r>
            <w:r w:rsidR="0091207C">
              <w:rPr>
                <w:rFonts w:eastAsia="SimSun"/>
                <w:szCs w:val="20"/>
                <w:lang w:val="en-GB"/>
              </w:rPr>
              <w:t xml:space="preserve">Miscellaneous </w:t>
            </w:r>
            <w:r w:rsidR="00B87B8C">
              <w:rPr>
                <w:rFonts w:eastAsia="SimSun"/>
                <w:szCs w:val="20"/>
                <w:lang w:val="en-GB"/>
              </w:rPr>
              <w:t>CIDs of</w:t>
            </w:r>
            <w:r w:rsidR="00722BA4">
              <w:rPr>
                <w:rFonts w:eastAsia="SimSun"/>
                <w:szCs w:val="20"/>
                <w:lang w:val="en-GB"/>
              </w:rPr>
              <w:t xml:space="preserve"> </w:t>
            </w:r>
            <w:r w:rsidR="00B87B8C">
              <w:rPr>
                <w:rFonts w:eastAsia="SimSun"/>
                <w:szCs w:val="20"/>
                <w:lang w:val="en-GB"/>
              </w:rPr>
              <w:t xml:space="preserve">11az SAB1 </w:t>
            </w:r>
          </w:p>
        </w:tc>
      </w:tr>
      <w:tr w:rsidR="009C20D2" w14:paraId="68D93D0E" w14:textId="77777777" w:rsidTr="00CD721A">
        <w:trPr>
          <w:trHeight w:val="359"/>
          <w:jc w:val="center"/>
        </w:trPr>
        <w:tc>
          <w:tcPr>
            <w:tcW w:w="9634" w:type="dxa"/>
            <w:gridSpan w:val="5"/>
            <w:vAlign w:val="center"/>
          </w:tcPr>
          <w:p w14:paraId="362FF510" w14:textId="5CFE477C"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-0</w:t>
            </w:r>
            <w:r w:rsidR="0091207C">
              <w:rPr>
                <w:rFonts w:eastAsia="SimSun"/>
                <w:b w:val="0"/>
                <w:sz w:val="20"/>
                <w:szCs w:val="20"/>
                <w:lang w:val="en-GB"/>
              </w:rPr>
              <w:t>4</w:t>
            </w:r>
            <w:r w:rsidRPr="0092416F">
              <w:rPr>
                <w:rFonts w:eastAsia="SimSun"/>
                <w:b w:val="0"/>
                <w:sz w:val="20"/>
                <w:szCs w:val="20"/>
                <w:lang w:val="en-GB"/>
              </w:rPr>
              <w:t>-</w:t>
            </w:r>
            <w:r w:rsidR="00B87B8C">
              <w:rPr>
                <w:rFonts w:eastAsia="SimSun"/>
                <w:b w:val="0"/>
                <w:sz w:val="20"/>
                <w:szCs w:val="20"/>
                <w:lang w:val="en-GB"/>
              </w:rPr>
              <w:t>0</w:t>
            </w:r>
            <w:r w:rsidR="0091207C">
              <w:rPr>
                <w:rFonts w:eastAsia="SimSun"/>
                <w:b w:val="0"/>
                <w:sz w:val="20"/>
                <w:szCs w:val="20"/>
                <w:lang w:val="en-GB"/>
              </w:rPr>
              <w:t>4</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4011AB" w:rsidRPr="004D190D" w14:paraId="133F7C26" w14:textId="77777777" w:rsidTr="00851A26">
        <w:trPr>
          <w:trHeight w:val="460"/>
          <w:jc w:val="center"/>
        </w:trPr>
        <w:tc>
          <w:tcPr>
            <w:tcW w:w="2054" w:type="dxa"/>
            <w:vAlign w:val="center"/>
          </w:tcPr>
          <w:p w14:paraId="07FE3246" w14:textId="243CFA5A" w:rsidR="004011AB" w:rsidRDefault="00BD6026"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Align w:val="center"/>
          </w:tcPr>
          <w:p w14:paraId="3DDB5297" w14:textId="44AD8286" w:rsidR="004011AB" w:rsidRPr="0092416F" w:rsidRDefault="00BD6026"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21FC364F" w14:textId="77777777" w:rsidR="004011AB" w:rsidRPr="0092416F" w:rsidDel="002217BE" w:rsidRDefault="004011AB" w:rsidP="007A3876">
            <w:pPr>
              <w:pStyle w:val="T2"/>
              <w:spacing w:after="0"/>
              <w:ind w:left="0" w:right="0"/>
              <w:jc w:val="left"/>
              <w:rPr>
                <w:rFonts w:eastAsia="SimSun"/>
                <w:b w:val="0"/>
                <w:sz w:val="20"/>
                <w:szCs w:val="20"/>
                <w:lang w:val="en-GB"/>
              </w:rPr>
            </w:pPr>
          </w:p>
        </w:tc>
        <w:tc>
          <w:tcPr>
            <w:tcW w:w="1620" w:type="dxa"/>
            <w:vAlign w:val="center"/>
          </w:tcPr>
          <w:p w14:paraId="63BC4B2A" w14:textId="77777777" w:rsidR="004011AB" w:rsidRPr="0092416F" w:rsidRDefault="004011AB" w:rsidP="007A3876">
            <w:pPr>
              <w:pStyle w:val="T2"/>
              <w:spacing w:after="0"/>
              <w:ind w:left="0" w:right="0"/>
              <w:jc w:val="left"/>
              <w:rPr>
                <w:rFonts w:eastAsia="SimSun"/>
                <w:b w:val="0"/>
                <w:sz w:val="20"/>
                <w:szCs w:val="20"/>
                <w:lang w:val="en-GB"/>
              </w:rPr>
            </w:pPr>
          </w:p>
        </w:tc>
        <w:tc>
          <w:tcPr>
            <w:tcW w:w="2900" w:type="dxa"/>
            <w:vAlign w:val="center"/>
          </w:tcPr>
          <w:p w14:paraId="499C7BA0" w14:textId="784ED614" w:rsidR="004011AB" w:rsidRDefault="00BD6026" w:rsidP="007A3876">
            <w:pPr>
              <w:rPr>
                <w:sz w:val="20"/>
              </w:rPr>
            </w:pPr>
            <w:r>
              <w:rPr>
                <w:sz w:val="20"/>
              </w:rPr>
              <w:t>tianyu@apple.com</w:t>
            </w:r>
          </w:p>
        </w:tc>
      </w:tr>
      <w:tr w:rsidR="00CA3896" w:rsidRPr="004D190D" w14:paraId="49465E86" w14:textId="77777777" w:rsidTr="00851A26">
        <w:trPr>
          <w:trHeight w:val="460"/>
          <w:jc w:val="center"/>
        </w:trPr>
        <w:tc>
          <w:tcPr>
            <w:tcW w:w="2054" w:type="dxa"/>
            <w:vAlign w:val="center"/>
          </w:tcPr>
          <w:p w14:paraId="43D717EC" w14:textId="53AFD97A" w:rsidR="00CA3896" w:rsidRDefault="00CA3896" w:rsidP="007A3876">
            <w:pPr>
              <w:rPr>
                <w:color w:val="000000"/>
                <w:sz w:val="20"/>
              </w:rPr>
            </w:pPr>
          </w:p>
        </w:tc>
        <w:tc>
          <w:tcPr>
            <w:tcW w:w="1404" w:type="dxa"/>
            <w:vAlign w:val="center"/>
          </w:tcPr>
          <w:p w14:paraId="2DBD8EAE" w14:textId="1C36F211" w:rsidR="00CA3896" w:rsidRDefault="00CA3896" w:rsidP="007A3876">
            <w:pPr>
              <w:pStyle w:val="T2"/>
              <w:spacing w:after="0"/>
              <w:ind w:left="0" w:right="0"/>
              <w:jc w:val="left"/>
              <w:rPr>
                <w:rFonts w:eastAsia="SimSun"/>
                <w:b w:val="0"/>
                <w:color w:val="000000"/>
                <w:sz w:val="20"/>
                <w:szCs w:val="20"/>
                <w:lang w:val="en-GB"/>
              </w:rPr>
            </w:pP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02F13A5D" w:rsidR="00CA3896" w:rsidRPr="004011AB" w:rsidRDefault="00CA3896"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3F36902F" w:rsidR="0043534D" w:rsidRDefault="00152BEB" w:rsidP="0043534D">
      <w:pPr>
        <w:jc w:val="both"/>
      </w:pPr>
      <w:r>
        <w:t>This submission proposes the resolutions to</w:t>
      </w:r>
      <w:r w:rsidR="00E426E0">
        <w:t xml:space="preserve"> 11az </w:t>
      </w:r>
      <w:r w:rsidR="0092294F">
        <w:t>SAB1</w:t>
      </w:r>
      <w:r w:rsidR="00E426E0">
        <w:t xml:space="preserve"> CID</w:t>
      </w:r>
      <w:r w:rsidR="00CC77F0">
        <w:t>-</w:t>
      </w:r>
      <w:r w:rsidR="00DC4982">
        <w:t xml:space="preserve"> 7285</w:t>
      </w:r>
      <w:bookmarkStart w:id="0" w:name="_GoBack"/>
      <w:bookmarkEnd w:id="0"/>
      <w:r w:rsidR="00DC4982">
        <w:t xml:space="preserve"> </w:t>
      </w:r>
      <w:r w:rsidR="00394A2C">
        <w:t xml:space="preserve">and </w:t>
      </w:r>
      <w:r w:rsidR="00DC4982">
        <w:t>7286</w:t>
      </w:r>
      <w:r w:rsidR="00394A2C">
        <w:t xml:space="preserve">. </w:t>
      </w:r>
      <w:r w:rsidR="0006658C">
        <w:t xml:space="preserve"> </w:t>
      </w:r>
    </w:p>
    <w:p w14:paraId="73CB92BA" w14:textId="63C8E86C" w:rsidR="00126FEE" w:rsidRDefault="00126FEE" w:rsidP="0043534D">
      <w:pPr>
        <w:jc w:val="both"/>
      </w:pPr>
    </w:p>
    <w:p w14:paraId="0CAF6143" w14:textId="0AABA6D3" w:rsidR="00126FEE" w:rsidRDefault="00126FEE" w:rsidP="00126FEE">
      <w:r w:rsidRPr="0043534D">
        <w:t xml:space="preserve">The page and line numbers refer to those in 11az Draft </w:t>
      </w:r>
      <w:r>
        <w:t>4</w:t>
      </w:r>
      <w:r w:rsidRPr="0043534D">
        <w:t>.</w:t>
      </w:r>
      <w:r w:rsidR="0092294F">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5C3A9E2E" w14:textId="08EE79B7" w:rsidR="00DF6617" w:rsidRDefault="00E426E0" w:rsidP="00DF6617">
      <w:pPr>
        <w:jc w:val="both"/>
      </w:pPr>
      <w:r>
        <w:t xml:space="preserve">This submission proposes the resolutions to </w:t>
      </w:r>
      <w:r w:rsidR="0091207C">
        <w:t xml:space="preserve">miscellaneous </w:t>
      </w:r>
      <w:r>
        <w:t xml:space="preserve">11az </w:t>
      </w:r>
      <w:r w:rsidR="00B26058">
        <w:t>SAB1</w:t>
      </w:r>
      <w:r>
        <w:t xml:space="preserve"> </w:t>
      </w:r>
      <w:r w:rsidR="00DF6617">
        <w:t>CID-</w:t>
      </w:r>
      <w:r w:rsidR="00BF3460">
        <w:t xml:space="preserve"> </w:t>
      </w:r>
      <w:r w:rsidR="00DF6617">
        <w:t>7285</w:t>
      </w:r>
      <w:r w:rsidR="00E654AA">
        <w:t xml:space="preserve"> </w:t>
      </w:r>
      <w:r w:rsidR="00394A2C">
        <w:t xml:space="preserve">and </w:t>
      </w:r>
      <w:r w:rsidR="00DF6617">
        <w:t xml:space="preserve">7286. </w:t>
      </w:r>
    </w:p>
    <w:p w14:paraId="0E656F94" w14:textId="77777777" w:rsidR="00E426E0" w:rsidRDefault="00E426E0" w:rsidP="00E426E0">
      <w:pPr>
        <w:rPr>
          <w:sz w:val="20"/>
          <w:szCs w:val="20"/>
        </w:rPr>
      </w:pPr>
    </w:p>
    <w:p w14:paraId="64763D61" w14:textId="74902096" w:rsidR="00E426E0" w:rsidRDefault="00E426E0" w:rsidP="00E426E0">
      <w:r w:rsidRPr="0043534D">
        <w:t xml:space="preserve">The page and line numbers refer to those in 11az Draft </w:t>
      </w:r>
      <w:r w:rsidR="00126FEE">
        <w:t>4</w:t>
      </w:r>
      <w:r w:rsidRPr="0043534D">
        <w:t>.</w:t>
      </w:r>
      <w:r w:rsidR="00B26058">
        <w:t>1</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0FA88908" w14:textId="77777777" w:rsidR="005F7449" w:rsidRDefault="005F7449" w:rsidP="00FC15EB">
      <w:pPr>
        <w:rPr>
          <w:rFonts w:eastAsia="Calibri"/>
          <w:b/>
        </w:rPr>
      </w:pPr>
    </w:p>
    <w:p w14:paraId="22B9DA4F" w14:textId="4EF8CD42" w:rsidR="00DC6385" w:rsidRDefault="00DC6385" w:rsidP="00FC15EB">
      <w:pPr>
        <w:rPr>
          <w:rFonts w:eastAsia="Calibri"/>
          <w:b/>
        </w:rPr>
      </w:pPr>
    </w:p>
    <w:tbl>
      <w:tblPr>
        <w:tblStyle w:val="TableGrid"/>
        <w:tblW w:w="11134" w:type="dxa"/>
        <w:tblInd w:w="-1175" w:type="dxa"/>
        <w:tblLayout w:type="fixed"/>
        <w:tblLook w:val="04A0" w:firstRow="1" w:lastRow="0" w:firstColumn="1" w:lastColumn="0" w:noHBand="0" w:noVBand="1"/>
      </w:tblPr>
      <w:tblGrid>
        <w:gridCol w:w="696"/>
        <w:gridCol w:w="1190"/>
        <w:gridCol w:w="1414"/>
        <w:gridCol w:w="2820"/>
        <w:gridCol w:w="1620"/>
        <w:gridCol w:w="3394"/>
      </w:tblGrid>
      <w:tr w:rsidR="00DC6385" w14:paraId="08A39E81" w14:textId="77777777" w:rsidTr="00146396">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414" w:type="dxa"/>
          </w:tcPr>
          <w:p w14:paraId="687BDA91" w14:textId="77777777" w:rsidR="00DC6385" w:rsidRDefault="00DC6385" w:rsidP="00824472">
            <w:pPr>
              <w:rPr>
                <w:b/>
                <w:bCs/>
                <w:color w:val="222222"/>
              </w:rPr>
            </w:pPr>
            <w:r w:rsidRPr="00713C4F">
              <w:rPr>
                <w:rFonts w:eastAsia="Calibri"/>
              </w:rPr>
              <w:t>Clause</w:t>
            </w:r>
          </w:p>
        </w:tc>
        <w:tc>
          <w:tcPr>
            <w:tcW w:w="2820" w:type="dxa"/>
          </w:tcPr>
          <w:p w14:paraId="727CCD55" w14:textId="77777777" w:rsidR="00DC6385" w:rsidRDefault="00DC6385" w:rsidP="00824472">
            <w:pPr>
              <w:rPr>
                <w:b/>
                <w:bCs/>
                <w:color w:val="222222"/>
              </w:rPr>
            </w:pPr>
            <w:r w:rsidRPr="00713C4F">
              <w:rPr>
                <w:rFonts w:eastAsia="Calibri"/>
              </w:rPr>
              <w:t>Comment</w:t>
            </w:r>
          </w:p>
        </w:tc>
        <w:tc>
          <w:tcPr>
            <w:tcW w:w="1620" w:type="dxa"/>
          </w:tcPr>
          <w:p w14:paraId="38DE1BDB" w14:textId="77777777" w:rsidR="00DC6385" w:rsidRDefault="00DC6385" w:rsidP="00824472">
            <w:pPr>
              <w:rPr>
                <w:b/>
                <w:bCs/>
                <w:color w:val="222222"/>
              </w:rPr>
            </w:pPr>
            <w:r w:rsidRPr="00713C4F">
              <w:rPr>
                <w:rFonts w:eastAsia="Calibri"/>
              </w:rPr>
              <w:t>Proposed change</w:t>
            </w:r>
          </w:p>
        </w:tc>
        <w:tc>
          <w:tcPr>
            <w:tcW w:w="3394" w:type="dxa"/>
          </w:tcPr>
          <w:p w14:paraId="3BDF82A4" w14:textId="77777777" w:rsidR="00DC6385" w:rsidRDefault="00DC6385" w:rsidP="00824472">
            <w:pPr>
              <w:rPr>
                <w:b/>
                <w:bCs/>
                <w:color w:val="222222"/>
              </w:rPr>
            </w:pPr>
            <w:r w:rsidRPr="00713C4F">
              <w:rPr>
                <w:rFonts w:eastAsia="Calibri"/>
              </w:rPr>
              <w:t>Resolution</w:t>
            </w:r>
          </w:p>
        </w:tc>
      </w:tr>
      <w:tr w:rsidR="0091207C" w14:paraId="0614E222" w14:textId="77777777" w:rsidTr="00146396">
        <w:tc>
          <w:tcPr>
            <w:tcW w:w="696" w:type="dxa"/>
          </w:tcPr>
          <w:p w14:paraId="2FF1C5F5" w14:textId="619493B8" w:rsidR="0091207C" w:rsidRPr="00477AAE" w:rsidRDefault="00BE51EF"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7285</w:t>
            </w:r>
          </w:p>
        </w:tc>
        <w:tc>
          <w:tcPr>
            <w:tcW w:w="1190" w:type="dxa"/>
          </w:tcPr>
          <w:p w14:paraId="5E071662" w14:textId="498202B9" w:rsidR="008A456F" w:rsidRPr="00477AAE" w:rsidRDefault="00D33DF8"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8A456F" w:rsidRPr="00477AAE">
              <w:rPr>
                <w:rFonts w:asciiTheme="minorHAnsi" w:hAnsiTheme="minorHAnsi" w:cstheme="minorHAnsi"/>
                <w:color w:val="000000"/>
                <w:sz w:val="22"/>
                <w:szCs w:val="22"/>
              </w:rPr>
              <w:t>132</w:t>
            </w:r>
            <w:r w:rsidRPr="00477AAE">
              <w:rPr>
                <w:rFonts w:asciiTheme="minorHAnsi" w:hAnsiTheme="minorHAnsi" w:cstheme="minorHAnsi"/>
                <w:color w:val="000000"/>
                <w:sz w:val="22"/>
                <w:szCs w:val="22"/>
              </w:rPr>
              <w:t>/L</w:t>
            </w:r>
            <w:r w:rsidR="008A456F" w:rsidRPr="00477AAE">
              <w:rPr>
                <w:rFonts w:asciiTheme="minorHAnsi" w:hAnsiTheme="minorHAnsi" w:cstheme="minorHAnsi"/>
                <w:color w:val="000000"/>
                <w:sz w:val="22"/>
                <w:szCs w:val="22"/>
              </w:rPr>
              <w:t>22</w:t>
            </w:r>
          </w:p>
          <w:p w14:paraId="694408E4" w14:textId="77777777" w:rsidR="0091207C" w:rsidRPr="00477AAE" w:rsidRDefault="0091207C" w:rsidP="0032513B">
            <w:pPr>
              <w:rPr>
                <w:rFonts w:asciiTheme="minorHAnsi" w:eastAsia="Calibri" w:hAnsiTheme="minorHAnsi" w:cstheme="minorHAnsi"/>
                <w:sz w:val="22"/>
                <w:szCs w:val="22"/>
              </w:rPr>
            </w:pPr>
          </w:p>
        </w:tc>
        <w:tc>
          <w:tcPr>
            <w:tcW w:w="1414" w:type="dxa"/>
          </w:tcPr>
          <w:p w14:paraId="2B80BEF7"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7215F834" w14:textId="77777777" w:rsidR="0091207C" w:rsidRPr="00477AAE" w:rsidRDefault="0091207C" w:rsidP="0032513B">
            <w:pPr>
              <w:rPr>
                <w:rFonts w:asciiTheme="minorHAnsi" w:eastAsia="Calibri" w:hAnsiTheme="minorHAnsi" w:cstheme="minorHAnsi"/>
                <w:sz w:val="22"/>
                <w:szCs w:val="22"/>
              </w:rPr>
            </w:pPr>
          </w:p>
        </w:tc>
        <w:tc>
          <w:tcPr>
            <w:tcW w:w="2820" w:type="dxa"/>
          </w:tcPr>
          <w:p w14:paraId="1F358880"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 xml:space="preserve">"When an ISTA has included the Secure LTF </w:t>
            </w:r>
            <w:proofErr w:type="spellStart"/>
            <w:r w:rsidRPr="00477AAE">
              <w:rPr>
                <w:rFonts w:asciiTheme="minorHAnsi" w:hAnsiTheme="minorHAnsi" w:cstheme="minorHAnsi"/>
                <w:color w:val="000000"/>
                <w:sz w:val="22"/>
                <w:szCs w:val="22"/>
              </w:rPr>
              <w:t>subelement</w:t>
            </w:r>
            <w:proofErr w:type="spellEnd"/>
            <w:r w:rsidRPr="00477AAE">
              <w:rPr>
                <w:rFonts w:asciiTheme="minorHAnsi" w:hAnsiTheme="minorHAnsi" w:cstheme="minorHAnsi"/>
                <w:color w:val="000000"/>
                <w:sz w:val="22"/>
                <w:szCs w:val="22"/>
              </w:rPr>
              <w:t xml:space="preserve"> in the Ranging Parameters element in its 22 IFTMR frame and sets the value of the Secure LTF Required field to 1, the ISTA shall set the Max 23 R2I Rep and Max I2R Rep subfields to a value greater than 0, and both RSTA Assigned R2I Rep 24 and RSTA Assigned I2R Rep shall be greater than 0." There is no technical reason for the requirement to always use &gt;1 repetitions</w:t>
            </w:r>
          </w:p>
          <w:p w14:paraId="4FDFD9E0" w14:textId="77777777" w:rsidR="0091207C" w:rsidRPr="00477AAE" w:rsidRDefault="0091207C" w:rsidP="0032513B">
            <w:pPr>
              <w:rPr>
                <w:rFonts w:asciiTheme="minorHAnsi" w:eastAsia="Calibri" w:hAnsiTheme="minorHAnsi" w:cstheme="minorHAnsi"/>
                <w:sz w:val="22"/>
                <w:szCs w:val="22"/>
              </w:rPr>
            </w:pPr>
          </w:p>
        </w:tc>
        <w:tc>
          <w:tcPr>
            <w:tcW w:w="1620" w:type="dxa"/>
          </w:tcPr>
          <w:p w14:paraId="2FBA2ED0"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remove</w:t>
            </w:r>
          </w:p>
          <w:p w14:paraId="59B6514C"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47BE1FE4" w14:textId="4E2834A0" w:rsidR="00C04930" w:rsidRPr="00477AAE" w:rsidRDefault="00C04930"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R</w:t>
            </w:r>
            <w:r w:rsidR="008A456F" w:rsidRPr="00477AAE">
              <w:rPr>
                <w:rFonts w:asciiTheme="minorHAnsi" w:hAnsiTheme="minorHAnsi" w:cstheme="minorHAnsi"/>
                <w:color w:val="000000"/>
                <w:sz w:val="22"/>
                <w:szCs w:val="22"/>
              </w:rPr>
              <w:t>eject</w:t>
            </w:r>
            <w:r w:rsidRPr="00477AAE">
              <w:rPr>
                <w:rFonts w:asciiTheme="minorHAnsi" w:hAnsiTheme="minorHAnsi" w:cstheme="minorHAnsi"/>
                <w:color w:val="000000"/>
                <w:sz w:val="22"/>
                <w:szCs w:val="22"/>
              </w:rPr>
              <w:t xml:space="preserve">. </w:t>
            </w:r>
          </w:p>
          <w:p w14:paraId="4797A152" w14:textId="77777777" w:rsidR="00C04930" w:rsidRPr="00477AAE" w:rsidRDefault="00C04930" w:rsidP="00146396">
            <w:pPr>
              <w:rPr>
                <w:rFonts w:asciiTheme="minorHAnsi" w:hAnsiTheme="minorHAnsi" w:cstheme="minorHAnsi"/>
                <w:color w:val="000000"/>
                <w:sz w:val="22"/>
                <w:szCs w:val="22"/>
              </w:rPr>
            </w:pPr>
          </w:p>
          <w:p w14:paraId="2EDAB01E" w14:textId="4402DDF1" w:rsidR="008A456F" w:rsidRPr="00477AAE" w:rsidRDefault="00C04930" w:rsidP="00146396">
            <w:pPr>
              <w:rPr>
                <w:rFonts w:asciiTheme="minorHAnsi" w:hAnsiTheme="minorHAnsi" w:cstheme="minorHAnsi"/>
                <w:color w:val="000000"/>
                <w:sz w:val="22"/>
                <w:szCs w:val="22"/>
              </w:rPr>
            </w:pPr>
            <w:r w:rsidRPr="00477AAE">
              <w:rPr>
                <w:rFonts w:asciiTheme="minorHAnsi" w:hAnsiTheme="minorHAnsi" w:cstheme="minorHAnsi"/>
                <w:color w:val="000000"/>
                <w:sz w:val="22"/>
                <w:szCs w:val="22"/>
              </w:rPr>
              <w:t>T</w:t>
            </w:r>
            <w:r w:rsidR="008A456F" w:rsidRPr="00477AAE">
              <w:rPr>
                <w:rFonts w:asciiTheme="minorHAnsi" w:hAnsiTheme="minorHAnsi" w:cstheme="minorHAnsi"/>
                <w:color w:val="000000"/>
                <w:sz w:val="22"/>
                <w:szCs w:val="22"/>
              </w:rPr>
              <w:t>he</w:t>
            </w:r>
            <w:r w:rsidR="00D0606E">
              <w:rPr>
                <w:rFonts w:asciiTheme="minorHAnsi" w:hAnsiTheme="minorHAnsi" w:cstheme="minorHAnsi"/>
                <w:color w:val="000000"/>
                <w:sz w:val="22"/>
                <w:szCs w:val="22"/>
              </w:rPr>
              <w:t xml:space="preserve"> 11az </w:t>
            </w:r>
            <w:r w:rsidR="008A456F" w:rsidRPr="00477AAE">
              <w:rPr>
                <w:rFonts w:asciiTheme="minorHAnsi" w:hAnsiTheme="minorHAnsi" w:cstheme="minorHAnsi"/>
                <w:color w:val="000000"/>
                <w:sz w:val="22"/>
                <w:szCs w:val="22"/>
              </w:rPr>
              <w:t xml:space="preserve">group discussed the mandating of repetition when using Secure </w:t>
            </w:r>
            <w:r w:rsidRPr="00477AAE">
              <w:rPr>
                <w:rFonts w:asciiTheme="minorHAnsi" w:hAnsiTheme="minorHAnsi" w:cstheme="minorHAnsi"/>
                <w:color w:val="000000"/>
                <w:sz w:val="22"/>
                <w:szCs w:val="22"/>
              </w:rPr>
              <w:t>HE-</w:t>
            </w:r>
            <w:r w:rsidR="008A456F" w:rsidRPr="00477AAE">
              <w:rPr>
                <w:rFonts w:asciiTheme="minorHAnsi" w:hAnsiTheme="minorHAnsi" w:cstheme="minorHAnsi"/>
                <w:color w:val="000000"/>
                <w:sz w:val="22"/>
                <w:szCs w:val="22"/>
              </w:rPr>
              <w:t>LTF several times</w:t>
            </w:r>
            <w:r w:rsidR="00D0606E">
              <w:rPr>
                <w:rFonts w:asciiTheme="minorHAnsi" w:hAnsiTheme="minorHAnsi" w:cstheme="minorHAnsi"/>
                <w:color w:val="000000"/>
                <w:sz w:val="22"/>
                <w:szCs w:val="22"/>
              </w:rPr>
              <w:t>,</w:t>
            </w:r>
            <w:r w:rsidR="008A456F" w:rsidRPr="00477AAE">
              <w:rPr>
                <w:rFonts w:asciiTheme="minorHAnsi" w:hAnsiTheme="minorHAnsi" w:cstheme="minorHAnsi"/>
                <w:color w:val="000000"/>
                <w:sz w:val="22"/>
                <w:szCs w:val="22"/>
              </w:rPr>
              <w:t xml:space="preserve"> and the agreement within the group was that </w:t>
            </w:r>
            <w:r w:rsidRPr="00477AAE">
              <w:rPr>
                <w:rFonts w:asciiTheme="minorHAnsi" w:hAnsiTheme="minorHAnsi" w:cstheme="minorHAnsi"/>
                <w:color w:val="000000"/>
                <w:sz w:val="22"/>
                <w:szCs w:val="22"/>
              </w:rPr>
              <w:t>repetition</w:t>
            </w:r>
            <w:r w:rsidR="008A456F" w:rsidRPr="00477AAE">
              <w:rPr>
                <w:rFonts w:asciiTheme="minorHAnsi" w:hAnsiTheme="minorHAnsi" w:cstheme="minorHAnsi"/>
                <w:color w:val="000000"/>
                <w:sz w:val="22"/>
                <w:szCs w:val="22"/>
              </w:rPr>
              <w:t xml:space="preserve"> sh</w:t>
            </w:r>
            <w:r w:rsidR="00D0606E">
              <w:rPr>
                <w:rFonts w:asciiTheme="minorHAnsi" w:hAnsiTheme="minorHAnsi" w:cstheme="minorHAnsi"/>
                <w:color w:val="000000"/>
                <w:sz w:val="22"/>
                <w:szCs w:val="22"/>
              </w:rPr>
              <w:t>all</w:t>
            </w:r>
            <w:r w:rsidR="008A456F" w:rsidRPr="00477AAE">
              <w:rPr>
                <w:rFonts w:asciiTheme="minorHAnsi" w:hAnsiTheme="minorHAnsi" w:cstheme="minorHAnsi"/>
                <w:color w:val="000000"/>
                <w:sz w:val="22"/>
                <w:szCs w:val="22"/>
              </w:rPr>
              <w:t xml:space="preserve"> be used in a secure </w:t>
            </w:r>
            <w:r w:rsidRPr="00477AAE">
              <w:rPr>
                <w:rFonts w:asciiTheme="minorHAnsi" w:hAnsiTheme="minorHAnsi" w:cstheme="minorHAnsi"/>
                <w:color w:val="000000"/>
                <w:sz w:val="22"/>
                <w:szCs w:val="22"/>
              </w:rPr>
              <w:t>HE-</w:t>
            </w:r>
            <w:r w:rsidR="008A456F" w:rsidRPr="00477AAE">
              <w:rPr>
                <w:rFonts w:asciiTheme="minorHAnsi" w:hAnsiTheme="minorHAnsi" w:cstheme="minorHAnsi"/>
                <w:color w:val="000000"/>
                <w:sz w:val="22"/>
                <w:szCs w:val="22"/>
              </w:rPr>
              <w:t>LTF session.</w:t>
            </w:r>
          </w:p>
          <w:p w14:paraId="4259B22B" w14:textId="77777777" w:rsidR="0091207C" w:rsidRPr="00477AAE" w:rsidRDefault="0091207C" w:rsidP="0091207C">
            <w:pPr>
              <w:jc w:val="center"/>
              <w:rPr>
                <w:rFonts w:asciiTheme="minorHAnsi" w:eastAsia="Calibri" w:hAnsiTheme="minorHAnsi" w:cstheme="minorHAnsi"/>
                <w:sz w:val="22"/>
                <w:szCs w:val="22"/>
              </w:rPr>
            </w:pPr>
          </w:p>
        </w:tc>
      </w:tr>
      <w:tr w:rsidR="0091207C" w14:paraId="1C92810B" w14:textId="77777777" w:rsidTr="00146396">
        <w:tc>
          <w:tcPr>
            <w:tcW w:w="696" w:type="dxa"/>
          </w:tcPr>
          <w:p w14:paraId="4C9B73ED" w14:textId="118FD55C" w:rsidR="0091207C" w:rsidRPr="00477AAE" w:rsidRDefault="00BE51EF" w:rsidP="0032513B">
            <w:pPr>
              <w:rPr>
                <w:rFonts w:asciiTheme="minorHAnsi" w:eastAsia="Calibri" w:hAnsiTheme="minorHAnsi" w:cstheme="minorHAnsi"/>
                <w:sz w:val="22"/>
                <w:szCs w:val="22"/>
              </w:rPr>
            </w:pPr>
            <w:r w:rsidRPr="00477AAE">
              <w:rPr>
                <w:rFonts w:asciiTheme="minorHAnsi" w:eastAsia="Calibri" w:hAnsiTheme="minorHAnsi" w:cstheme="minorHAnsi"/>
                <w:sz w:val="22"/>
                <w:szCs w:val="22"/>
              </w:rPr>
              <w:t>7286</w:t>
            </w:r>
          </w:p>
        </w:tc>
        <w:tc>
          <w:tcPr>
            <w:tcW w:w="1190" w:type="dxa"/>
          </w:tcPr>
          <w:p w14:paraId="219483FC" w14:textId="092B1E7F" w:rsidR="008A456F" w:rsidRPr="00477AAE" w:rsidRDefault="00D33DF8"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P</w:t>
            </w:r>
            <w:r w:rsidR="008A456F" w:rsidRPr="00477AAE">
              <w:rPr>
                <w:rFonts w:asciiTheme="minorHAnsi" w:hAnsiTheme="minorHAnsi" w:cstheme="minorHAnsi"/>
                <w:color w:val="000000"/>
                <w:sz w:val="22"/>
                <w:szCs w:val="22"/>
              </w:rPr>
              <w:t>133</w:t>
            </w:r>
            <w:r w:rsidRPr="00477AAE">
              <w:rPr>
                <w:rFonts w:asciiTheme="minorHAnsi" w:hAnsiTheme="minorHAnsi" w:cstheme="minorHAnsi"/>
                <w:color w:val="000000"/>
                <w:sz w:val="22"/>
                <w:szCs w:val="22"/>
              </w:rPr>
              <w:t>/L</w:t>
            </w:r>
            <w:r w:rsidR="008A456F" w:rsidRPr="00477AAE">
              <w:rPr>
                <w:rFonts w:asciiTheme="minorHAnsi" w:hAnsiTheme="minorHAnsi" w:cstheme="minorHAnsi"/>
                <w:color w:val="000000"/>
                <w:sz w:val="22"/>
                <w:szCs w:val="22"/>
              </w:rPr>
              <w:t>05</w:t>
            </w:r>
          </w:p>
          <w:p w14:paraId="02BB1BCD" w14:textId="77777777" w:rsidR="0091207C" w:rsidRPr="00477AAE" w:rsidRDefault="0091207C" w:rsidP="0032513B">
            <w:pPr>
              <w:rPr>
                <w:rFonts w:asciiTheme="minorHAnsi" w:eastAsia="Calibri" w:hAnsiTheme="minorHAnsi" w:cstheme="minorHAnsi"/>
                <w:sz w:val="22"/>
                <w:szCs w:val="22"/>
              </w:rPr>
            </w:pPr>
          </w:p>
        </w:tc>
        <w:tc>
          <w:tcPr>
            <w:tcW w:w="1414" w:type="dxa"/>
          </w:tcPr>
          <w:p w14:paraId="5575CF5A"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11.21.6.3.3</w:t>
            </w:r>
          </w:p>
          <w:p w14:paraId="5F262CA3" w14:textId="77777777" w:rsidR="0091207C" w:rsidRPr="00477AAE" w:rsidRDefault="0091207C" w:rsidP="0032513B">
            <w:pPr>
              <w:rPr>
                <w:rFonts w:asciiTheme="minorHAnsi" w:eastAsia="Calibri" w:hAnsiTheme="minorHAnsi" w:cstheme="minorHAnsi"/>
                <w:sz w:val="22"/>
                <w:szCs w:val="22"/>
              </w:rPr>
            </w:pPr>
          </w:p>
        </w:tc>
        <w:tc>
          <w:tcPr>
            <w:tcW w:w="2820" w:type="dxa"/>
          </w:tcPr>
          <w:p w14:paraId="3F315EF4"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"NOTE 1—The setting of the I2R LMR Feedback subfield to 1 in the Ranging Parameters field in the Ranging Parameters element contained in the IFTMR frame and IFTM frame respectively is based on higher layer agreements." - always? How about headless devices?</w:t>
            </w:r>
          </w:p>
          <w:p w14:paraId="568B46A7" w14:textId="77777777" w:rsidR="0091207C" w:rsidRPr="00477AAE" w:rsidRDefault="0091207C" w:rsidP="0032513B">
            <w:pPr>
              <w:rPr>
                <w:rFonts w:asciiTheme="minorHAnsi" w:eastAsia="Calibri" w:hAnsiTheme="minorHAnsi" w:cstheme="minorHAnsi"/>
                <w:sz w:val="22"/>
                <w:szCs w:val="22"/>
              </w:rPr>
            </w:pPr>
          </w:p>
        </w:tc>
        <w:tc>
          <w:tcPr>
            <w:tcW w:w="1620" w:type="dxa"/>
          </w:tcPr>
          <w:p w14:paraId="72B7EBF3" w14:textId="77777777" w:rsidR="008A456F" w:rsidRPr="00477AAE" w:rsidRDefault="008A456F" w:rsidP="008A456F">
            <w:pPr>
              <w:rPr>
                <w:rFonts w:asciiTheme="minorHAnsi" w:hAnsiTheme="minorHAnsi" w:cstheme="minorHAnsi"/>
                <w:color w:val="000000"/>
                <w:sz w:val="22"/>
                <w:szCs w:val="22"/>
              </w:rPr>
            </w:pPr>
            <w:r w:rsidRPr="00477AAE">
              <w:rPr>
                <w:rFonts w:asciiTheme="minorHAnsi" w:hAnsiTheme="minorHAnsi" w:cstheme="minorHAnsi"/>
                <w:color w:val="000000"/>
                <w:sz w:val="22"/>
                <w:szCs w:val="22"/>
              </w:rPr>
              <w:t>Change to "NOTE 1—The setting of the I2R LMR Feedback subfield to 1 in the Ranging Parameters field in the Ranging Parameters element contained in the IFTMR frame and IFTM frame respectively may be based on higher layer agreements."</w:t>
            </w:r>
          </w:p>
          <w:p w14:paraId="3822528E" w14:textId="77777777" w:rsidR="0091207C" w:rsidRPr="00477AAE" w:rsidRDefault="0091207C" w:rsidP="0032513B">
            <w:pPr>
              <w:rPr>
                <w:rFonts w:asciiTheme="minorHAnsi" w:eastAsia="Calibri" w:hAnsiTheme="minorHAnsi" w:cstheme="minorHAnsi"/>
                <w:sz w:val="22"/>
                <w:szCs w:val="22"/>
              </w:rPr>
            </w:pPr>
          </w:p>
        </w:tc>
        <w:tc>
          <w:tcPr>
            <w:tcW w:w="3394" w:type="dxa"/>
            <w:vAlign w:val="center"/>
          </w:tcPr>
          <w:p w14:paraId="630F86A0" w14:textId="4752CBCB" w:rsidR="00C04930" w:rsidRDefault="00FB22FB" w:rsidP="0014639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Reject. </w:t>
            </w:r>
          </w:p>
          <w:p w14:paraId="4E6116B8" w14:textId="7DB160DD" w:rsidR="00FB22FB" w:rsidRDefault="00FB22FB" w:rsidP="00146396">
            <w:pPr>
              <w:rPr>
                <w:rFonts w:asciiTheme="minorHAnsi" w:hAnsiTheme="minorHAnsi" w:cstheme="minorHAnsi"/>
                <w:color w:val="000000"/>
                <w:sz w:val="22"/>
                <w:szCs w:val="22"/>
              </w:rPr>
            </w:pPr>
          </w:p>
          <w:p w14:paraId="170B7B00" w14:textId="77777777" w:rsidR="00D91D63" w:rsidRDefault="00D91D63" w:rsidP="00D91D63">
            <w:r>
              <w:rPr>
                <w:rFonts w:ascii="Helvetica" w:hAnsi="Helvetica"/>
                <w:color w:val="000000"/>
                <w:sz w:val="18"/>
                <w:szCs w:val="18"/>
              </w:rPr>
              <w:t>NOTE1 indicates that, if/when an ISTA's location information is shared with an RSTA at the MAC layer, it relies on the pre-existing trusting relationship between the ISTA and the RSTA which is established at a layer above the MAC.  A headless device  (ISTA) will only share its location information with a trusted network (RSTA).  This note applies to all devices categories (including headless devices).  No spec change is needed. </w:t>
            </w:r>
          </w:p>
          <w:p w14:paraId="18DDFE31" w14:textId="77777777" w:rsidR="00FB22FB" w:rsidRPr="00477AAE" w:rsidRDefault="00FB22FB" w:rsidP="00146396">
            <w:pPr>
              <w:rPr>
                <w:rFonts w:asciiTheme="minorHAnsi" w:hAnsiTheme="minorHAnsi" w:cstheme="minorHAnsi"/>
                <w:color w:val="000000"/>
                <w:sz w:val="22"/>
                <w:szCs w:val="22"/>
              </w:rPr>
            </w:pPr>
          </w:p>
          <w:p w14:paraId="17C5DBEB" w14:textId="77777777" w:rsidR="0091207C" w:rsidRPr="00477AAE" w:rsidRDefault="0091207C" w:rsidP="0091207C">
            <w:pPr>
              <w:jc w:val="center"/>
              <w:rPr>
                <w:rFonts w:asciiTheme="minorHAnsi" w:eastAsia="Calibri" w:hAnsiTheme="minorHAnsi" w:cstheme="minorHAnsi"/>
                <w:sz w:val="22"/>
                <w:szCs w:val="22"/>
              </w:rPr>
            </w:pPr>
          </w:p>
        </w:tc>
      </w:tr>
    </w:tbl>
    <w:p w14:paraId="342F57C3" w14:textId="769253D7" w:rsidR="00466DC3" w:rsidRPr="00674E3A" w:rsidRDefault="00466DC3" w:rsidP="00466DC3">
      <w:pPr>
        <w:rPr>
          <w:b/>
          <w:bCs/>
          <w:color w:val="222222"/>
        </w:rPr>
      </w:pPr>
      <w:r w:rsidRPr="00674E3A">
        <w:rPr>
          <w:b/>
          <w:bCs/>
          <w:color w:val="222222"/>
        </w:rPr>
        <w:lastRenderedPageBreak/>
        <w:t>References</w:t>
      </w:r>
    </w:p>
    <w:p w14:paraId="17469F85" w14:textId="77777777" w:rsidR="00466DC3" w:rsidRPr="00674E3A" w:rsidRDefault="00466DC3" w:rsidP="00466DC3">
      <w:pPr>
        <w:shd w:val="clear" w:color="auto" w:fill="FFFFFF"/>
        <w:rPr>
          <w:b/>
          <w:bCs/>
          <w:color w:val="222222"/>
          <w:sz w:val="22"/>
          <w:szCs w:val="22"/>
        </w:rPr>
      </w:pPr>
    </w:p>
    <w:p w14:paraId="0B627654" w14:textId="04CA2B39" w:rsidR="00466DC3" w:rsidRPr="00674E3A" w:rsidRDefault="00466DC3" w:rsidP="00466DC3">
      <w:pPr>
        <w:pStyle w:val="Default"/>
        <w:rPr>
          <w:color w:val="auto"/>
          <w:sz w:val="22"/>
          <w:szCs w:val="22"/>
        </w:rPr>
      </w:pPr>
      <w:r w:rsidRPr="00674E3A">
        <w:rPr>
          <w:color w:val="auto"/>
          <w:sz w:val="22"/>
          <w:szCs w:val="22"/>
        </w:rPr>
        <w:t>[1] IEEE P802.11az™/D</w:t>
      </w:r>
      <w:r>
        <w:rPr>
          <w:color w:val="auto"/>
          <w:sz w:val="22"/>
          <w:szCs w:val="22"/>
        </w:rPr>
        <w:t>4.</w:t>
      </w:r>
      <w:r w:rsidR="0092294F">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769A" w14:textId="77777777" w:rsidR="0001160C" w:rsidRDefault="0001160C">
      <w:r>
        <w:separator/>
      </w:r>
    </w:p>
  </w:endnote>
  <w:endnote w:type="continuationSeparator" w:id="0">
    <w:p w14:paraId="748306B5" w14:textId="77777777" w:rsidR="0001160C" w:rsidRDefault="000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392F5850" w:rsidR="00CC512C" w:rsidRDefault="00555505">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6D67E" w14:textId="77777777" w:rsidR="0001160C" w:rsidRDefault="0001160C">
      <w:r>
        <w:separator/>
      </w:r>
    </w:p>
  </w:footnote>
  <w:footnote w:type="continuationSeparator" w:id="0">
    <w:p w14:paraId="352D3B4B" w14:textId="77777777" w:rsidR="0001160C" w:rsidRDefault="0001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1DEED28A" w:rsidR="00CC512C" w:rsidRDefault="0091207C">
    <w:pPr>
      <w:pStyle w:val="Header"/>
      <w:tabs>
        <w:tab w:val="clear" w:pos="6480"/>
        <w:tab w:val="center" w:pos="4680"/>
        <w:tab w:val="right" w:pos="9360"/>
      </w:tabs>
    </w:pPr>
    <w:r>
      <w:t>April</w:t>
    </w:r>
    <w:r w:rsidR="00CC512C">
      <w:t xml:space="preserve"> 202</w:t>
    </w:r>
    <w:r w:rsidR="00B87B8C">
      <w:t>2</w:t>
    </w:r>
    <w:r w:rsidR="00CC512C">
      <w:tab/>
    </w:r>
    <w:r w:rsidR="00CC512C">
      <w:tab/>
    </w:r>
    <w:r w:rsidR="00CC512C" w:rsidRPr="00C80CDE">
      <w:t>doc.: IEEE 802.11-</w:t>
    </w:r>
    <w:r w:rsidR="00CC512C">
      <w:t>2</w:t>
    </w:r>
    <w:r w:rsidR="00B87B8C">
      <w:t>2</w:t>
    </w:r>
    <w:r w:rsidR="00BF3292">
      <w:t>/</w:t>
    </w:r>
    <w:r w:rsidR="00CE195D">
      <w:t>605</w:t>
    </w:r>
    <w:r w:rsidR="00CC512C">
      <w:t>r</w:t>
    </w:r>
    <w:r w:rsidR="00103E1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7"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17"/>
  </w:num>
  <w:num w:numId="3">
    <w:abstractNumId w:val="19"/>
  </w:num>
  <w:num w:numId="4">
    <w:abstractNumId w:val="25"/>
  </w:num>
  <w:num w:numId="5">
    <w:abstractNumId w:val="32"/>
  </w:num>
  <w:num w:numId="6">
    <w:abstractNumId w:val="30"/>
  </w:num>
  <w:num w:numId="7">
    <w:abstractNumId w:val="35"/>
  </w:num>
  <w:num w:numId="8">
    <w:abstractNumId w:val="56"/>
  </w:num>
  <w:num w:numId="9">
    <w:abstractNumId w:val="34"/>
  </w:num>
  <w:num w:numId="10">
    <w:abstractNumId w:val="6"/>
  </w:num>
  <w:num w:numId="11">
    <w:abstractNumId w:val="40"/>
  </w:num>
  <w:num w:numId="12">
    <w:abstractNumId w:val="7"/>
  </w:num>
  <w:num w:numId="13">
    <w:abstractNumId w:val="13"/>
  </w:num>
  <w:num w:numId="14">
    <w:abstractNumId w:val="49"/>
  </w:num>
  <w:num w:numId="15">
    <w:abstractNumId w:val="44"/>
  </w:num>
  <w:num w:numId="16">
    <w:abstractNumId w:val="27"/>
  </w:num>
  <w:num w:numId="17">
    <w:abstractNumId w:val="12"/>
  </w:num>
  <w:num w:numId="18">
    <w:abstractNumId w:val="38"/>
  </w:num>
  <w:num w:numId="19">
    <w:abstractNumId w:val="55"/>
  </w:num>
  <w:num w:numId="20">
    <w:abstractNumId w:val="4"/>
  </w:num>
  <w:num w:numId="21">
    <w:abstractNumId w:val="58"/>
  </w:num>
  <w:num w:numId="22">
    <w:abstractNumId w:val="47"/>
  </w:num>
  <w:num w:numId="23">
    <w:abstractNumId w:val="5"/>
  </w:num>
  <w:num w:numId="24">
    <w:abstractNumId w:val="31"/>
  </w:num>
  <w:num w:numId="25">
    <w:abstractNumId w:val="36"/>
  </w:num>
  <w:num w:numId="26">
    <w:abstractNumId w:val="8"/>
  </w:num>
  <w:num w:numId="27">
    <w:abstractNumId w:val="1"/>
  </w:num>
  <w:num w:numId="28">
    <w:abstractNumId w:val="23"/>
  </w:num>
  <w:num w:numId="29">
    <w:abstractNumId w:val="45"/>
  </w:num>
  <w:num w:numId="30">
    <w:abstractNumId w:val="24"/>
  </w:num>
  <w:num w:numId="31">
    <w:abstractNumId w:val="22"/>
  </w:num>
  <w:num w:numId="32">
    <w:abstractNumId w:val="2"/>
  </w:num>
  <w:num w:numId="33">
    <w:abstractNumId w:val="29"/>
  </w:num>
  <w:num w:numId="34">
    <w:abstractNumId w:val="28"/>
  </w:num>
  <w:num w:numId="35">
    <w:abstractNumId w:val="52"/>
  </w:num>
  <w:num w:numId="36">
    <w:abstractNumId w:val="57"/>
  </w:num>
  <w:num w:numId="37">
    <w:abstractNumId w:val="0"/>
  </w:num>
  <w:num w:numId="38">
    <w:abstractNumId w:val="37"/>
  </w:num>
  <w:num w:numId="39">
    <w:abstractNumId w:val="53"/>
  </w:num>
  <w:num w:numId="40">
    <w:abstractNumId w:val="15"/>
  </w:num>
  <w:num w:numId="41">
    <w:abstractNumId w:val="54"/>
  </w:num>
  <w:num w:numId="42">
    <w:abstractNumId w:val="42"/>
  </w:num>
  <w:num w:numId="43">
    <w:abstractNumId w:val="26"/>
  </w:num>
  <w:num w:numId="44">
    <w:abstractNumId w:val="43"/>
  </w:num>
  <w:num w:numId="45">
    <w:abstractNumId w:val="9"/>
  </w:num>
  <w:num w:numId="46">
    <w:abstractNumId w:val="18"/>
  </w:num>
  <w:num w:numId="47">
    <w:abstractNumId w:val="20"/>
  </w:num>
  <w:num w:numId="48">
    <w:abstractNumId w:val="11"/>
  </w:num>
  <w:num w:numId="49">
    <w:abstractNumId w:val="16"/>
  </w:num>
  <w:num w:numId="50">
    <w:abstractNumId w:val="39"/>
  </w:num>
  <w:num w:numId="51">
    <w:abstractNumId w:val="10"/>
  </w:num>
  <w:num w:numId="52">
    <w:abstractNumId w:val="48"/>
  </w:num>
  <w:num w:numId="53">
    <w:abstractNumId w:val="51"/>
  </w:num>
  <w:num w:numId="54">
    <w:abstractNumId w:val="3"/>
  </w:num>
  <w:num w:numId="55">
    <w:abstractNumId w:val="50"/>
  </w:num>
  <w:num w:numId="56">
    <w:abstractNumId w:val="41"/>
  </w:num>
  <w:num w:numId="57">
    <w:abstractNumId w:val="21"/>
  </w:num>
  <w:num w:numId="58">
    <w:abstractNumId w:val="14"/>
  </w:num>
  <w:num w:numId="59">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0C"/>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14C0"/>
    <w:rsid w:val="00053771"/>
    <w:rsid w:val="00054031"/>
    <w:rsid w:val="00057810"/>
    <w:rsid w:val="000602FF"/>
    <w:rsid w:val="00062058"/>
    <w:rsid w:val="00062A8D"/>
    <w:rsid w:val="00062F23"/>
    <w:rsid w:val="000649C7"/>
    <w:rsid w:val="0006658C"/>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6953"/>
    <w:rsid w:val="000F6B90"/>
    <w:rsid w:val="000F6E3A"/>
    <w:rsid w:val="000F7750"/>
    <w:rsid w:val="001001D6"/>
    <w:rsid w:val="0010037F"/>
    <w:rsid w:val="001004FB"/>
    <w:rsid w:val="00100C09"/>
    <w:rsid w:val="001010F1"/>
    <w:rsid w:val="001023A3"/>
    <w:rsid w:val="00102449"/>
    <w:rsid w:val="00103E14"/>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5FF8"/>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60BB"/>
    <w:rsid w:val="00347A11"/>
    <w:rsid w:val="00347D79"/>
    <w:rsid w:val="00350157"/>
    <w:rsid w:val="00350BC5"/>
    <w:rsid w:val="00352A14"/>
    <w:rsid w:val="00352F86"/>
    <w:rsid w:val="00353098"/>
    <w:rsid w:val="003531DC"/>
    <w:rsid w:val="00353FC7"/>
    <w:rsid w:val="00356706"/>
    <w:rsid w:val="00357C23"/>
    <w:rsid w:val="003615BB"/>
    <w:rsid w:val="00361AB1"/>
    <w:rsid w:val="003629C6"/>
    <w:rsid w:val="00362EDF"/>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355C"/>
    <w:rsid w:val="00384483"/>
    <w:rsid w:val="00384BE8"/>
    <w:rsid w:val="003852D4"/>
    <w:rsid w:val="003858BB"/>
    <w:rsid w:val="0038710F"/>
    <w:rsid w:val="003871EA"/>
    <w:rsid w:val="00390CB5"/>
    <w:rsid w:val="00390F34"/>
    <w:rsid w:val="00391265"/>
    <w:rsid w:val="00391614"/>
    <w:rsid w:val="00391FCF"/>
    <w:rsid w:val="00392B98"/>
    <w:rsid w:val="003936E9"/>
    <w:rsid w:val="00393A04"/>
    <w:rsid w:val="003941E9"/>
    <w:rsid w:val="003944F5"/>
    <w:rsid w:val="00394A2C"/>
    <w:rsid w:val="00394E76"/>
    <w:rsid w:val="00395163"/>
    <w:rsid w:val="003956FF"/>
    <w:rsid w:val="0039647F"/>
    <w:rsid w:val="00396C7A"/>
    <w:rsid w:val="00396D34"/>
    <w:rsid w:val="003973C1"/>
    <w:rsid w:val="003A062C"/>
    <w:rsid w:val="003A0C1E"/>
    <w:rsid w:val="003A2167"/>
    <w:rsid w:val="003A3A85"/>
    <w:rsid w:val="003A3E4E"/>
    <w:rsid w:val="003A4BED"/>
    <w:rsid w:val="003A532A"/>
    <w:rsid w:val="003A5EF4"/>
    <w:rsid w:val="003A6822"/>
    <w:rsid w:val="003A6ED7"/>
    <w:rsid w:val="003A7424"/>
    <w:rsid w:val="003A747E"/>
    <w:rsid w:val="003A7E5D"/>
    <w:rsid w:val="003B0249"/>
    <w:rsid w:val="003B0F67"/>
    <w:rsid w:val="003B1B03"/>
    <w:rsid w:val="003B22C7"/>
    <w:rsid w:val="003B2D88"/>
    <w:rsid w:val="003B2FA2"/>
    <w:rsid w:val="003B2FA3"/>
    <w:rsid w:val="003B3AAB"/>
    <w:rsid w:val="003B3C74"/>
    <w:rsid w:val="003B3DAA"/>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647B"/>
    <w:rsid w:val="00466549"/>
    <w:rsid w:val="00466606"/>
    <w:rsid w:val="00466B39"/>
    <w:rsid w:val="00466D0D"/>
    <w:rsid w:val="00466DC3"/>
    <w:rsid w:val="0046745B"/>
    <w:rsid w:val="00467E60"/>
    <w:rsid w:val="00467E9E"/>
    <w:rsid w:val="00470B48"/>
    <w:rsid w:val="0047123B"/>
    <w:rsid w:val="00471923"/>
    <w:rsid w:val="0047247E"/>
    <w:rsid w:val="004725F6"/>
    <w:rsid w:val="00473EC2"/>
    <w:rsid w:val="00477AAE"/>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4961"/>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5505"/>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EA8"/>
    <w:rsid w:val="0058082C"/>
    <w:rsid w:val="005809EA"/>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7676"/>
    <w:rsid w:val="006277EA"/>
    <w:rsid w:val="00627CA8"/>
    <w:rsid w:val="00630A8A"/>
    <w:rsid w:val="00631E54"/>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7B1"/>
    <w:rsid w:val="00697A28"/>
    <w:rsid w:val="006A01C8"/>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694"/>
    <w:rsid w:val="006D7E8A"/>
    <w:rsid w:val="006D7F5E"/>
    <w:rsid w:val="006E145F"/>
    <w:rsid w:val="006E1CB8"/>
    <w:rsid w:val="006E27DA"/>
    <w:rsid w:val="006E31C9"/>
    <w:rsid w:val="006E3547"/>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AA6"/>
    <w:rsid w:val="007051ED"/>
    <w:rsid w:val="00705E2F"/>
    <w:rsid w:val="00705FF6"/>
    <w:rsid w:val="00706767"/>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456F"/>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E5F"/>
    <w:rsid w:val="009279FC"/>
    <w:rsid w:val="00927BE8"/>
    <w:rsid w:val="00930369"/>
    <w:rsid w:val="009307D5"/>
    <w:rsid w:val="009314F8"/>
    <w:rsid w:val="00931A27"/>
    <w:rsid w:val="00932686"/>
    <w:rsid w:val="0093385A"/>
    <w:rsid w:val="009339FC"/>
    <w:rsid w:val="0093453B"/>
    <w:rsid w:val="00934E15"/>
    <w:rsid w:val="00936293"/>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5BEA"/>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DA8"/>
    <w:rsid w:val="00AF4003"/>
    <w:rsid w:val="00AF4066"/>
    <w:rsid w:val="00AF7903"/>
    <w:rsid w:val="00AF7B18"/>
    <w:rsid w:val="00B00082"/>
    <w:rsid w:val="00B00FC2"/>
    <w:rsid w:val="00B031B7"/>
    <w:rsid w:val="00B033BD"/>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493"/>
    <w:rsid w:val="00CA023D"/>
    <w:rsid w:val="00CA09B2"/>
    <w:rsid w:val="00CA0B0B"/>
    <w:rsid w:val="00CA0FDA"/>
    <w:rsid w:val="00CA1993"/>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3403"/>
    <w:rsid w:val="00DB36C2"/>
    <w:rsid w:val="00DB3A81"/>
    <w:rsid w:val="00DB4247"/>
    <w:rsid w:val="00DB42B5"/>
    <w:rsid w:val="00DB49DD"/>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41B"/>
    <w:rsid w:val="00E04ED3"/>
    <w:rsid w:val="00E04EEA"/>
    <w:rsid w:val="00E05902"/>
    <w:rsid w:val="00E05D1A"/>
    <w:rsid w:val="00E065B9"/>
    <w:rsid w:val="00E0682D"/>
    <w:rsid w:val="00E104F4"/>
    <w:rsid w:val="00E115B8"/>
    <w:rsid w:val="00E1168D"/>
    <w:rsid w:val="00E11D7F"/>
    <w:rsid w:val="00E135BC"/>
    <w:rsid w:val="00E13EBC"/>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1087"/>
    <w:rsid w:val="00E511ED"/>
    <w:rsid w:val="00E515D1"/>
    <w:rsid w:val="00E52751"/>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4AA"/>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11CB"/>
    <w:rsid w:val="00ED233A"/>
    <w:rsid w:val="00ED2F6D"/>
    <w:rsid w:val="00ED4EB9"/>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F39"/>
    <w:rsid w:val="00F66BCB"/>
    <w:rsid w:val="00F66EF3"/>
    <w:rsid w:val="00F67513"/>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0C9A"/>
    <w:rsid w:val="00FC15EB"/>
    <w:rsid w:val="00FC1C97"/>
    <w:rsid w:val="00FC1EB2"/>
    <w:rsid w:val="00FC24D2"/>
    <w:rsid w:val="00FC2C7C"/>
    <w:rsid w:val="00FC39D0"/>
    <w:rsid w:val="00FC3DE7"/>
    <w:rsid w:val="00FC43F8"/>
    <w:rsid w:val="00FC4821"/>
    <w:rsid w:val="00FC4B1A"/>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F5E"/>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51D2-4CCA-5147-893D-BDEE3609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6</cp:revision>
  <cp:lastPrinted>2020-12-07T23:55:00Z</cp:lastPrinted>
  <dcterms:created xsi:type="dcterms:W3CDTF">2022-04-20T18:11:00Z</dcterms:created>
  <dcterms:modified xsi:type="dcterms:W3CDTF">2022-04-20T18:16:00Z</dcterms:modified>
  <cp:category/>
</cp:coreProperties>
</file>