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22EBC504" w:rsidR="00CA09B2" w:rsidRDefault="00673292" w:rsidP="007F1F74">
            <w:pPr>
              <w:pStyle w:val="T2"/>
            </w:pPr>
            <w:r>
              <w:t>CID 2022</w:t>
            </w:r>
            <w:r w:rsidR="00385BD3">
              <w:t xml:space="preserve"> </w:t>
            </w:r>
          </w:p>
        </w:tc>
      </w:tr>
      <w:tr w:rsidR="00CA09B2" w14:paraId="02966D81" w14:textId="77777777">
        <w:trPr>
          <w:trHeight w:val="359"/>
          <w:jc w:val="center"/>
        </w:trPr>
        <w:tc>
          <w:tcPr>
            <w:tcW w:w="9576" w:type="dxa"/>
            <w:gridSpan w:val="5"/>
            <w:vAlign w:val="center"/>
          </w:tcPr>
          <w:p w14:paraId="286D4255" w14:textId="2ABF867B" w:rsidR="00CA09B2" w:rsidRDefault="00CA09B2" w:rsidP="00742504">
            <w:pPr>
              <w:pStyle w:val="T2"/>
              <w:ind w:left="0"/>
              <w:rPr>
                <w:sz w:val="20"/>
              </w:rPr>
            </w:pPr>
            <w:r>
              <w:rPr>
                <w:sz w:val="20"/>
              </w:rPr>
              <w:t>Date:</w:t>
            </w:r>
            <w:r>
              <w:rPr>
                <w:b w:val="0"/>
                <w:sz w:val="20"/>
              </w:rPr>
              <w:t xml:space="preserve">  </w:t>
            </w:r>
            <w:r w:rsidR="00742504">
              <w:rPr>
                <w:b w:val="0"/>
                <w:sz w:val="20"/>
              </w:rPr>
              <w:t>2022-02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2767C1" w:rsidRDefault="002767C1">
                            <w:pPr>
                              <w:pStyle w:val="T1"/>
                              <w:spacing w:after="120"/>
                            </w:pPr>
                            <w:r>
                              <w:t>Abstract</w:t>
                            </w:r>
                          </w:p>
                          <w:p w14:paraId="10F5EAD8" w14:textId="7E334929" w:rsidR="002767C1" w:rsidRDefault="00673292" w:rsidP="00480D8B">
                            <w:pPr>
                              <w:pStyle w:val="T1"/>
                              <w:spacing w:after="120"/>
                              <w:jc w:val="left"/>
                              <w:rPr>
                                <w:b w:val="0"/>
                              </w:rPr>
                            </w:pPr>
                            <w:r>
                              <w:rPr>
                                <w:b w:val="0"/>
                              </w:rPr>
                              <w:t>Sumission on CID 2022</w:t>
                            </w:r>
                          </w:p>
                          <w:p w14:paraId="4D602A86" w14:textId="2A1A9616" w:rsidR="002767C1" w:rsidRDefault="002767C1" w:rsidP="00480D8B">
                            <w:pPr>
                              <w:pStyle w:val="T1"/>
                              <w:spacing w:after="120"/>
                              <w:jc w:val="left"/>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2767C1" w:rsidRDefault="002767C1">
                      <w:pPr>
                        <w:pStyle w:val="T1"/>
                        <w:spacing w:after="120"/>
                      </w:pPr>
                      <w:r>
                        <w:t>Abstract</w:t>
                      </w:r>
                    </w:p>
                    <w:p w14:paraId="10F5EAD8" w14:textId="7E334929" w:rsidR="002767C1" w:rsidRDefault="00673292" w:rsidP="00480D8B">
                      <w:pPr>
                        <w:pStyle w:val="T1"/>
                        <w:spacing w:after="120"/>
                        <w:jc w:val="left"/>
                        <w:rPr>
                          <w:b w:val="0"/>
                        </w:rPr>
                      </w:pPr>
                      <w:proofErr w:type="spellStart"/>
                      <w:r>
                        <w:rPr>
                          <w:b w:val="0"/>
                        </w:rPr>
                        <w:t>Sumission</w:t>
                      </w:r>
                      <w:proofErr w:type="spellEnd"/>
                      <w:r>
                        <w:rPr>
                          <w:b w:val="0"/>
                        </w:rPr>
                        <w:t xml:space="preserve"> on CID 2022</w:t>
                      </w:r>
                    </w:p>
                    <w:p w14:paraId="4D602A86" w14:textId="2A1A9616" w:rsidR="002767C1" w:rsidRDefault="002767C1" w:rsidP="00480D8B">
                      <w:pPr>
                        <w:pStyle w:val="T1"/>
                        <w:spacing w:after="120"/>
                        <w:jc w:val="left"/>
                        <w:rPr>
                          <w:b w:val="0"/>
                        </w:rPr>
                      </w:pPr>
                    </w:p>
                  </w:txbxContent>
                </v:textbox>
              </v:shape>
            </w:pict>
          </mc:Fallback>
        </mc:AlternateContent>
      </w:r>
    </w:p>
    <w:p w14:paraId="541E20A5" w14:textId="0C9412AF" w:rsidR="00DE655E" w:rsidRPr="00673292" w:rsidRDefault="00CA09B2" w:rsidP="00DE655E">
      <w:pPr>
        <w:rPr>
          <w:b/>
        </w:rPr>
      </w:pPr>
      <w:r>
        <w:br w:type="page"/>
      </w:r>
      <w:r w:rsidR="00673292" w:rsidRPr="00673292">
        <w:rPr>
          <w:b/>
        </w:rPr>
        <w:lastRenderedPageBreak/>
        <w:t xml:space="preserve">CID 2022 </w:t>
      </w:r>
    </w:p>
    <w:p w14:paraId="18D8EF3E" w14:textId="77777777" w:rsidR="00673292" w:rsidRDefault="00673292" w:rsidP="00DE655E">
      <w:r w:rsidRPr="00673292">
        <w:t xml:space="preserve">The word "only" is extremely prone to causing ambiguity and should not be used </w:t>
      </w:r>
    </w:p>
    <w:p w14:paraId="1CE86863" w14:textId="77777777" w:rsidR="00673292" w:rsidRDefault="00673292" w:rsidP="00DE655E"/>
    <w:p w14:paraId="60A368BD" w14:textId="1E100762" w:rsidR="00673292" w:rsidRDefault="00673292" w:rsidP="00673292">
      <w:r w:rsidRPr="00673292">
        <w:t>Delete "only" at 904.55</w:t>
      </w:r>
    </w:p>
    <w:p w14:paraId="67F7F9EA" w14:textId="756B9AE5" w:rsidR="0031542D" w:rsidRDefault="0031542D" w:rsidP="00673292"/>
    <w:p w14:paraId="3C22330F" w14:textId="30F18916" w:rsidR="0031542D" w:rsidRPr="00380C96" w:rsidRDefault="0031542D" w:rsidP="00673292">
      <w:pPr>
        <w:rPr>
          <w:i/>
          <w:sz w:val="28"/>
        </w:rPr>
      </w:pPr>
      <w:r w:rsidRPr="00380C96">
        <w:rPr>
          <w:rFonts w:eastAsia="Arial,Bold"/>
          <w:b/>
          <w:bCs/>
          <w:i/>
          <w:sz w:val="24"/>
          <w:lang w:val="en-US" w:eastAsia="ja-JP"/>
        </w:rPr>
        <w:t>9.2.4.1.7 Power Management subfield</w:t>
      </w:r>
    </w:p>
    <w:p w14:paraId="64CEA7CC" w14:textId="37D822BC"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The Power Management subfield is used to indicate the power management mode of a STA. The subfield is either reserved (as defined below) or remains constant in each frame from a particular STA within a frame exchange sequence (see Annex G). The value indicates the mode of the STA after the successful completion of the frame exchange sequence.</w:t>
      </w:r>
    </w:p>
    <w:p w14:paraId="29B75D5F" w14:textId="77777777" w:rsidR="00380C96" w:rsidRPr="00380C96" w:rsidRDefault="00380C96" w:rsidP="0031542D">
      <w:pPr>
        <w:autoSpaceDE w:val="0"/>
        <w:autoSpaceDN w:val="0"/>
        <w:adjustRightInd w:val="0"/>
        <w:rPr>
          <w:rFonts w:eastAsia="TimesNewRoman"/>
          <w:i/>
          <w:sz w:val="24"/>
          <w:lang w:val="en-US" w:eastAsia="ja-JP"/>
        </w:rPr>
      </w:pPr>
    </w:p>
    <w:p w14:paraId="670822DC" w14:textId="04541BB3"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In an infrastructure BSS or PBSS, the following applies:</w:t>
      </w:r>
    </w:p>
    <w:p w14:paraId="3C22C487" w14:textId="77777777" w:rsidR="00380C96" w:rsidRPr="00380C96" w:rsidRDefault="00380C96" w:rsidP="0031542D">
      <w:pPr>
        <w:autoSpaceDE w:val="0"/>
        <w:autoSpaceDN w:val="0"/>
        <w:adjustRightInd w:val="0"/>
        <w:rPr>
          <w:rFonts w:eastAsia="TimesNewRoman"/>
          <w:i/>
          <w:sz w:val="24"/>
          <w:lang w:val="en-US" w:eastAsia="ja-JP"/>
        </w:rPr>
      </w:pPr>
    </w:p>
    <w:p w14:paraId="3E2E4563" w14:textId="2ACE01AB" w:rsidR="0031542D" w:rsidRPr="00380C96" w:rsidRDefault="0031542D" w:rsidP="0031542D">
      <w:pPr>
        <w:autoSpaceDE w:val="0"/>
        <w:autoSpaceDN w:val="0"/>
        <w:adjustRightInd w:val="0"/>
        <w:rPr>
          <w:rFonts w:eastAsia="TimesNewRoman"/>
          <w:b/>
          <w:i/>
          <w:sz w:val="24"/>
          <w:lang w:val="en-US" w:eastAsia="ja-JP"/>
        </w:rPr>
      </w:pPr>
      <w:r w:rsidRPr="00380C96">
        <w:rPr>
          <w:rFonts w:eastAsia="TimesNewRoman"/>
          <w:i/>
          <w:sz w:val="24"/>
          <w:lang w:val="en-US" w:eastAsia="ja-JP"/>
        </w:rPr>
        <w:t xml:space="preserve">— </w:t>
      </w:r>
      <w:r w:rsidRPr="00380C96">
        <w:rPr>
          <w:rFonts w:eastAsia="TimesNewRoman"/>
          <w:b/>
          <w:i/>
          <w:sz w:val="24"/>
          <w:lang w:val="en-US" w:eastAsia="ja-JP"/>
        </w:rPr>
        <w:t xml:space="preserve">The Power Management subfield is valid </w:t>
      </w:r>
      <w:r w:rsidRPr="00380C96">
        <w:rPr>
          <w:rFonts w:eastAsia="TimesNewRoman"/>
          <w:b/>
          <w:i/>
          <w:color w:val="FF0000"/>
          <w:sz w:val="24"/>
          <w:lang w:val="en-US" w:eastAsia="ja-JP"/>
        </w:rPr>
        <w:t xml:space="preserve">only </w:t>
      </w:r>
      <w:r w:rsidRPr="00380C96">
        <w:rPr>
          <w:rFonts w:eastAsia="TimesNewRoman"/>
          <w:b/>
          <w:i/>
          <w:sz w:val="24"/>
          <w:lang w:val="en-US" w:eastAsia="ja-JP"/>
        </w:rPr>
        <w:t>in frame exchanges as described in 11.2.3 (Power</w:t>
      </w:r>
    </w:p>
    <w:p w14:paraId="1028BD49" w14:textId="77777777"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b/>
          <w:i/>
          <w:sz w:val="24"/>
          <w:lang w:val="en-US" w:eastAsia="ja-JP"/>
        </w:rPr>
        <w:t>management in a non-DMG infrastructure network) and 11.2.7</w:t>
      </w:r>
      <w:r w:rsidRPr="00380C96">
        <w:rPr>
          <w:rFonts w:eastAsia="TimesNewRoman"/>
          <w:i/>
          <w:sz w:val="24"/>
          <w:lang w:val="en-US" w:eastAsia="ja-JP"/>
        </w:rPr>
        <w:t xml:space="preserve"> (Power management in a PBSS and</w:t>
      </w:r>
    </w:p>
    <w:p w14:paraId="05F25697" w14:textId="77777777"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DMG infrastructure BSS). In such exchanges, the Power Management subfield set to 1 indicates that</w:t>
      </w:r>
    </w:p>
    <w:p w14:paraId="3CF093C1" w14:textId="77777777"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the STA will be in PS mode. The Power Management subfield set to 0 indicates that the STA will be</w:t>
      </w:r>
    </w:p>
    <w:p w14:paraId="74613617" w14:textId="77777777"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in active mode.</w:t>
      </w:r>
    </w:p>
    <w:p w14:paraId="7AE5E002" w14:textId="77777777" w:rsidR="00380C96" w:rsidRPr="00380C96" w:rsidRDefault="00380C96" w:rsidP="0031542D">
      <w:pPr>
        <w:autoSpaceDE w:val="0"/>
        <w:autoSpaceDN w:val="0"/>
        <w:adjustRightInd w:val="0"/>
        <w:rPr>
          <w:rFonts w:eastAsia="TimesNewRoman"/>
          <w:i/>
          <w:sz w:val="24"/>
          <w:lang w:val="en-US" w:eastAsia="ja-JP"/>
        </w:rPr>
      </w:pPr>
    </w:p>
    <w:p w14:paraId="50650E89" w14:textId="18DD3FD0"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 The Power Management subfield is reserved in all Management frames transmitted by a STA to an</w:t>
      </w:r>
    </w:p>
    <w:p w14:paraId="4FEB731D" w14:textId="77777777"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AP or PCP with which it is not associated.</w:t>
      </w:r>
    </w:p>
    <w:p w14:paraId="5375521E" w14:textId="77777777" w:rsidR="00380C96" w:rsidRPr="00380C96" w:rsidRDefault="00380C96" w:rsidP="0031542D">
      <w:pPr>
        <w:rPr>
          <w:rFonts w:eastAsia="TimesNewRoman"/>
          <w:i/>
          <w:sz w:val="24"/>
          <w:lang w:val="en-US" w:eastAsia="ja-JP"/>
        </w:rPr>
      </w:pPr>
    </w:p>
    <w:p w14:paraId="4BCBC5D5" w14:textId="1A618A79" w:rsidR="0031542D" w:rsidRPr="00380C96" w:rsidRDefault="0031542D" w:rsidP="0031542D">
      <w:pPr>
        <w:rPr>
          <w:rFonts w:eastAsia="TimesNewRoman"/>
          <w:i/>
          <w:sz w:val="24"/>
          <w:lang w:val="en-US" w:eastAsia="ja-JP"/>
        </w:rPr>
      </w:pPr>
      <w:r w:rsidRPr="00380C96">
        <w:rPr>
          <w:rFonts w:eastAsia="TimesNewRoman"/>
          <w:i/>
          <w:sz w:val="24"/>
          <w:lang w:val="en-US" w:eastAsia="ja-JP"/>
        </w:rPr>
        <w:t>— The Power Management subfield is reserved in all frames transmitted by the AP.</w:t>
      </w:r>
    </w:p>
    <w:p w14:paraId="2B0A04EC" w14:textId="6CD32D43" w:rsidR="00380C96" w:rsidRDefault="00380C96" w:rsidP="0031542D">
      <w:pPr>
        <w:rPr>
          <w:rFonts w:eastAsia="TimesNewRoman"/>
          <w:sz w:val="24"/>
          <w:lang w:val="en-US" w:eastAsia="ja-JP"/>
        </w:rPr>
      </w:pPr>
    </w:p>
    <w:p w14:paraId="7C7C67BC" w14:textId="433625D3" w:rsidR="00380C96" w:rsidRPr="00380C96" w:rsidRDefault="00380C96" w:rsidP="0031542D">
      <w:pPr>
        <w:rPr>
          <w:rFonts w:eastAsia="TimesNewRoman"/>
          <w:b/>
          <w:sz w:val="24"/>
          <w:szCs w:val="24"/>
          <w:lang w:val="en-US" w:eastAsia="ja-JP"/>
        </w:rPr>
      </w:pPr>
      <w:r w:rsidRPr="00380C96">
        <w:rPr>
          <w:rFonts w:eastAsia="TimesNewRoman"/>
          <w:b/>
          <w:sz w:val="24"/>
          <w:szCs w:val="24"/>
          <w:lang w:val="en-US" w:eastAsia="ja-JP"/>
        </w:rPr>
        <w:t>DISCUSSION</w:t>
      </w:r>
    </w:p>
    <w:p w14:paraId="0F55E4B3" w14:textId="32562594" w:rsidR="00380C96" w:rsidRDefault="00380C96" w:rsidP="0031542D">
      <w:pPr>
        <w:rPr>
          <w:sz w:val="24"/>
          <w:szCs w:val="24"/>
        </w:rPr>
      </w:pPr>
      <w:r w:rsidRPr="00380C96">
        <w:rPr>
          <w:sz w:val="24"/>
          <w:szCs w:val="24"/>
        </w:rPr>
        <w:t>What is the word “only” tr</w:t>
      </w:r>
      <w:r>
        <w:rPr>
          <w:sz w:val="24"/>
          <w:szCs w:val="24"/>
        </w:rPr>
        <w:t>y</w:t>
      </w:r>
      <w:r w:rsidRPr="00380C96">
        <w:rPr>
          <w:sz w:val="24"/>
          <w:szCs w:val="24"/>
        </w:rPr>
        <w:t xml:space="preserve">ing to </w:t>
      </w:r>
      <w:r>
        <w:rPr>
          <w:sz w:val="24"/>
          <w:szCs w:val="24"/>
        </w:rPr>
        <w:t xml:space="preserve">impart?  The clue is in the following bullets.  The Power Management subfield is present in the “Frame Control field” which is present in many frames, but is only “valid” in particular frames as specified in the first bullet.  </w:t>
      </w:r>
    </w:p>
    <w:p w14:paraId="2DEC68A5" w14:textId="52391F19" w:rsidR="00380C96" w:rsidRDefault="00380C96" w:rsidP="0031542D">
      <w:pPr>
        <w:rPr>
          <w:sz w:val="24"/>
          <w:szCs w:val="24"/>
        </w:rPr>
      </w:pPr>
    </w:p>
    <w:p w14:paraId="746AD51A" w14:textId="2AEAD6C7" w:rsidR="00380C96" w:rsidRDefault="00380C96" w:rsidP="0031542D">
      <w:pPr>
        <w:rPr>
          <w:sz w:val="24"/>
          <w:szCs w:val="24"/>
        </w:rPr>
      </w:pPr>
      <w:r>
        <w:rPr>
          <w:sz w:val="24"/>
          <w:szCs w:val="24"/>
        </w:rPr>
        <w:t>Indeed, one could argue that the second and third bullets are superfluous, but they are worthwhile for absolute clarity.</w:t>
      </w:r>
    </w:p>
    <w:p w14:paraId="33AB6B42" w14:textId="71055698" w:rsidR="00380C96" w:rsidRDefault="00380C96" w:rsidP="0031542D">
      <w:pPr>
        <w:rPr>
          <w:sz w:val="24"/>
          <w:szCs w:val="24"/>
        </w:rPr>
      </w:pPr>
    </w:p>
    <w:p w14:paraId="74D7F921" w14:textId="608BA728" w:rsidR="00380C96" w:rsidRDefault="00380C96" w:rsidP="0031542D">
      <w:pPr>
        <w:rPr>
          <w:sz w:val="24"/>
          <w:szCs w:val="24"/>
        </w:rPr>
      </w:pPr>
      <w:r>
        <w:rPr>
          <w:sz w:val="24"/>
          <w:szCs w:val="24"/>
        </w:rPr>
        <w:t xml:space="preserve">So, what ambiguity is the word “only” causing?  Easier to argue that it is superfluous. </w:t>
      </w:r>
    </w:p>
    <w:p w14:paraId="6BBDCE71" w14:textId="24DB0FC0" w:rsidR="00380C96" w:rsidRDefault="00380C96" w:rsidP="0031542D">
      <w:pPr>
        <w:rPr>
          <w:sz w:val="24"/>
          <w:szCs w:val="24"/>
        </w:rPr>
      </w:pPr>
    </w:p>
    <w:p w14:paraId="02F808C7" w14:textId="5D361F88" w:rsidR="00380C96" w:rsidRDefault="00380C96" w:rsidP="0031542D">
      <w:pPr>
        <w:rPr>
          <w:sz w:val="24"/>
          <w:szCs w:val="24"/>
        </w:rPr>
      </w:pPr>
      <w:r>
        <w:rPr>
          <w:sz w:val="24"/>
          <w:szCs w:val="24"/>
        </w:rPr>
        <w:t>During discussion it was expressed that:</w:t>
      </w:r>
    </w:p>
    <w:p w14:paraId="2F5FC448" w14:textId="77777777" w:rsidR="00F76AD7" w:rsidRDefault="00F76AD7" w:rsidP="00F76AD7">
      <w:pPr>
        <w:pStyle w:val="ListParagraph"/>
        <w:numPr>
          <w:ilvl w:val="0"/>
          <w:numId w:val="12"/>
        </w:numPr>
        <w:rPr>
          <w:sz w:val="24"/>
          <w:szCs w:val="24"/>
        </w:rPr>
      </w:pPr>
      <w:r w:rsidRPr="00F76AD7">
        <w:rPr>
          <w:i/>
          <w:sz w:val="24"/>
          <w:szCs w:val="24"/>
        </w:rPr>
        <w:t>“</w:t>
      </w:r>
      <w:r w:rsidRPr="00F76AD7">
        <w:rPr>
          <w:rFonts w:eastAsia="TimesNewRoman"/>
          <w:i/>
          <w:sz w:val="24"/>
          <w:lang w:val="en-US" w:eastAsia="ja-JP"/>
        </w:rPr>
        <w:t>is valid only</w:t>
      </w:r>
      <w:r w:rsidRPr="00F76AD7">
        <w:rPr>
          <w:rFonts w:eastAsia="TimesNewRoman"/>
          <w:i/>
          <w:color w:val="FF0000"/>
          <w:sz w:val="24"/>
          <w:lang w:val="en-US" w:eastAsia="ja-JP"/>
        </w:rPr>
        <w:t xml:space="preserve"> </w:t>
      </w:r>
      <w:r w:rsidRPr="00F76AD7">
        <w:rPr>
          <w:rFonts w:eastAsia="TimesNewRoman"/>
          <w:i/>
          <w:sz w:val="24"/>
          <w:lang w:val="en-US" w:eastAsia="ja-JP"/>
        </w:rPr>
        <w:t>in</w:t>
      </w:r>
      <w:r w:rsidRPr="00F76AD7">
        <w:rPr>
          <w:i/>
          <w:sz w:val="24"/>
          <w:szCs w:val="24"/>
        </w:rPr>
        <w:t>”</w:t>
      </w:r>
      <w:r>
        <w:rPr>
          <w:sz w:val="24"/>
          <w:szCs w:val="24"/>
        </w:rPr>
        <w:t xml:space="preserve"> should be replaced with </w:t>
      </w:r>
    </w:p>
    <w:p w14:paraId="50C8F69A" w14:textId="2A59F832" w:rsidR="00F76AD7" w:rsidRDefault="00F76AD7" w:rsidP="00F76AD7">
      <w:pPr>
        <w:pStyle w:val="ListParagraph"/>
        <w:numPr>
          <w:ilvl w:val="1"/>
          <w:numId w:val="12"/>
        </w:numPr>
        <w:rPr>
          <w:sz w:val="24"/>
          <w:szCs w:val="24"/>
        </w:rPr>
      </w:pPr>
      <w:r>
        <w:rPr>
          <w:sz w:val="24"/>
          <w:szCs w:val="24"/>
        </w:rPr>
        <w:t>“</w:t>
      </w:r>
      <w:r w:rsidRPr="00F76AD7">
        <w:rPr>
          <w:i/>
          <w:sz w:val="24"/>
          <w:szCs w:val="24"/>
        </w:rPr>
        <w:t>is valid in</w:t>
      </w:r>
      <w:r>
        <w:rPr>
          <w:sz w:val="24"/>
          <w:szCs w:val="24"/>
        </w:rPr>
        <w:t>”</w:t>
      </w:r>
    </w:p>
    <w:p w14:paraId="2C72D1FB" w14:textId="440D642D" w:rsidR="00380C96" w:rsidRDefault="00F76AD7" w:rsidP="00F76AD7">
      <w:pPr>
        <w:pStyle w:val="ListParagraph"/>
        <w:numPr>
          <w:ilvl w:val="1"/>
          <w:numId w:val="12"/>
        </w:numPr>
        <w:rPr>
          <w:sz w:val="24"/>
          <w:szCs w:val="24"/>
        </w:rPr>
      </w:pPr>
      <w:r>
        <w:rPr>
          <w:sz w:val="24"/>
          <w:szCs w:val="24"/>
        </w:rPr>
        <w:t>“</w:t>
      </w:r>
      <w:r w:rsidRPr="00F76AD7">
        <w:rPr>
          <w:i/>
          <w:sz w:val="24"/>
          <w:szCs w:val="24"/>
        </w:rPr>
        <w:t>is used in</w:t>
      </w:r>
      <w:r>
        <w:rPr>
          <w:sz w:val="24"/>
          <w:szCs w:val="24"/>
        </w:rPr>
        <w:t>”</w:t>
      </w:r>
    </w:p>
    <w:p w14:paraId="0232DD8D" w14:textId="21AF16DD" w:rsidR="00F76AD7" w:rsidRDefault="00F76AD7" w:rsidP="00F76AD7">
      <w:pPr>
        <w:pStyle w:val="ListParagraph"/>
        <w:numPr>
          <w:ilvl w:val="1"/>
          <w:numId w:val="12"/>
        </w:numPr>
        <w:rPr>
          <w:sz w:val="24"/>
          <w:szCs w:val="24"/>
        </w:rPr>
      </w:pPr>
      <w:r>
        <w:rPr>
          <w:sz w:val="24"/>
          <w:szCs w:val="24"/>
        </w:rPr>
        <w:t>“</w:t>
      </w:r>
      <w:r w:rsidRPr="00F76AD7">
        <w:rPr>
          <w:i/>
          <w:sz w:val="24"/>
          <w:szCs w:val="24"/>
        </w:rPr>
        <w:t>is only used in</w:t>
      </w:r>
      <w:r>
        <w:rPr>
          <w:sz w:val="24"/>
          <w:szCs w:val="24"/>
        </w:rPr>
        <w:t>”</w:t>
      </w:r>
    </w:p>
    <w:p w14:paraId="6018BD88" w14:textId="58753CBC" w:rsidR="00380C96" w:rsidRDefault="00F76AD7" w:rsidP="0031542D">
      <w:pPr>
        <w:rPr>
          <w:sz w:val="24"/>
          <w:szCs w:val="24"/>
        </w:rPr>
      </w:pPr>
      <w:r>
        <w:rPr>
          <w:sz w:val="24"/>
          <w:szCs w:val="24"/>
        </w:rPr>
        <w:t xml:space="preserve"> Also, it was suggested that the last two sentences be deleted. (I missed the argument on that, but describing the settings is normal so I don’t agree with that.</w:t>
      </w:r>
    </w:p>
    <w:p w14:paraId="24A7EC5D" w14:textId="209E545B" w:rsidR="00F76AD7" w:rsidRDefault="00F76AD7" w:rsidP="0031542D">
      <w:pPr>
        <w:rPr>
          <w:sz w:val="24"/>
          <w:szCs w:val="24"/>
        </w:rPr>
      </w:pPr>
    </w:p>
    <w:p w14:paraId="7516F475" w14:textId="7E473317" w:rsidR="00F76AD7" w:rsidRDefault="00F76AD7" w:rsidP="0031542D">
      <w:pPr>
        <w:rPr>
          <w:sz w:val="24"/>
          <w:szCs w:val="24"/>
        </w:rPr>
      </w:pPr>
      <w:r>
        <w:rPr>
          <w:sz w:val="24"/>
          <w:szCs w:val="24"/>
        </w:rPr>
        <w:t>So, we want to make it clear that only when used in the Power Management related frames in 11.2.3 and 11.2.7 is the Power Management subfield actually looked and used to indicate power condition.  A simple requirement, one would think.</w:t>
      </w:r>
    </w:p>
    <w:p w14:paraId="0C7FF36B" w14:textId="0F7A6B9C" w:rsidR="00F76AD7" w:rsidRDefault="00F76AD7">
      <w:pPr>
        <w:rPr>
          <w:sz w:val="24"/>
          <w:szCs w:val="24"/>
        </w:rPr>
      </w:pPr>
      <w:r>
        <w:rPr>
          <w:sz w:val="24"/>
          <w:szCs w:val="24"/>
        </w:rPr>
        <w:br w:type="page"/>
      </w:r>
    </w:p>
    <w:p w14:paraId="667EE7E8" w14:textId="5018C593" w:rsidR="00F76AD7" w:rsidRPr="003D6C6C" w:rsidRDefault="003D6C6C" w:rsidP="0031542D">
      <w:pPr>
        <w:rPr>
          <w:b/>
          <w:sz w:val="24"/>
          <w:szCs w:val="24"/>
        </w:rPr>
      </w:pPr>
      <w:r w:rsidRPr="003D6C6C">
        <w:rPr>
          <w:b/>
          <w:sz w:val="24"/>
          <w:szCs w:val="24"/>
        </w:rPr>
        <w:lastRenderedPageBreak/>
        <w:t>PROPOSAL</w:t>
      </w:r>
    </w:p>
    <w:p w14:paraId="76A3502A" w14:textId="2E3B11A1" w:rsidR="003D6C6C" w:rsidRDefault="003D6C6C" w:rsidP="0031542D">
      <w:pPr>
        <w:rPr>
          <w:sz w:val="24"/>
          <w:szCs w:val="24"/>
        </w:rPr>
      </w:pPr>
    </w:p>
    <w:p w14:paraId="34A20B5B" w14:textId="77777777" w:rsidR="003D6C6C" w:rsidRDefault="003D6C6C" w:rsidP="0031542D">
      <w:pPr>
        <w:rPr>
          <w:sz w:val="24"/>
          <w:szCs w:val="24"/>
        </w:rPr>
      </w:pPr>
      <w:r>
        <w:rPr>
          <w:sz w:val="24"/>
          <w:szCs w:val="24"/>
        </w:rPr>
        <w:t>At P904.48 Clause 9.2.4.1.7</w:t>
      </w:r>
    </w:p>
    <w:p w14:paraId="1E17135F" w14:textId="6BB248E3" w:rsidR="003D6C6C" w:rsidRDefault="003D6C6C" w:rsidP="0031542D">
      <w:pPr>
        <w:rPr>
          <w:sz w:val="24"/>
          <w:szCs w:val="24"/>
        </w:rPr>
      </w:pPr>
      <w:r>
        <w:rPr>
          <w:sz w:val="24"/>
          <w:szCs w:val="24"/>
        </w:rPr>
        <w:t xml:space="preserve">Replace </w:t>
      </w:r>
    </w:p>
    <w:p w14:paraId="659D3265" w14:textId="77777777" w:rsidR="003D6C6C" w:rsidRPr="003D6C6C" w:rsidRDefault="003D6C6C" w:rsidP="003D6C6C">
      <w:pPr>
        <w:autoSpaceDE w:val="0"/>
        <w:autoSpaceDN w:val="0"/>
        <w:adjustRightInd w:val="0"/>
        <w:rPr>
          <w:rFonts w:eastAsia="TimesNewRoman"/>
          <w:sz w:val="24"/>
          <w:lang w:val="en-US" w:eastAsia="ja-JP"/>
        </w:rPr>
      </w:pPr>
      <w:r w:rsidRPr="003D6C6C">
        <w:rPr>
          <w:rFonts w:eastAsia="TimesNewRoman"/>
          <w:sz w:val="24"/>
          <w:lang w:val="en-US" w:eastAsia="ja-JP"/>
        </w:rPr>
        <w:t xml:space="preserve">— The Power Management subfield is valid </w:t>
      </w:r>
      <w:r w:rsidRPr="003D6C6C">
        <w:rPr>
          <w:rFonts w:eastAsia="TimesNewRoman"/>
          <w:color w:val="FF0000"/>
          <w:sz w:val="24"/>
          <w:lang w:val="en-US" w:eastAsia="ja-JP"/>
        </w:rPr>
        <w:t xml:space="preserve">only </w:t>
      </w:r>
      <w:r w:rsidRPr="003D6C6C">
        <w:rPr>
          <w:rFonts w:eastAsia="TimesNewRoman"/>
          <w:sz w:val="24"/>
          <w:lang w:val="en-US" w:eastAsia="ja-JP"/>
        </w:rPr>
        <w:t>in frame exchanges as described in 11.2.3 (Power</w:t>
      </w:r>
    </w:p>
    <w:p w14:paraId="5AA32FAC" w14:textId="77777777" w:rsidR="003D6C6C" w:rsidRPr="003D6C6C" w:rsidRDefault="003D6C6C" w:rsidP="003D6C6C">
      <w:pPr>
        <w:autoSpaceDE w:val="0"/>
        <w:autoSpaceDN w:val="0"/>
        <w:adjustRightInd w:val="0"/>
        <w:rPr>
          <w:rFonts w:eastAsia="TimesNewRoman"/>
          <w:sz w:val="24"/>
          <w:lang w:val="en-US" w:eastAsia="ja-JP"/>
        </w:rPr>
      </w:pPr>
      <w:r w:rsidRPr="003D6C6C">
        <w:rPr>
          <w:rFonts w:eastAsia="TimesNewRoman"/>
          <w:sz w:val="24"/>
          <w:lang w:val="en-US" w:eastAsia="ja-JP"/>
        </w:rPr>
        <w:t>management in a non-DMG infrastructure network) and 11.2.7 (Power management in a PBSS and</w:t>
      </w:r>
    </w:p>
    <w:p w14:paraId="4168B14D" w14:textId="77777777" w:rsidR="003D6C6C" w:rsidRPr="003D6C6C" w:rsidRDefault="003D6C6C" w:rsidP="003D6C6C">
      <w:pPr>
        <w:autoSpaceDE w:val="0"/>
        <w:autoSpaceDN w:val="0"/>
        <w:adjustRightInd w:val="0"/>
        <w:rPr>
          <w:rFonts w:eastAsia="TimesNewRoman"/>
          <w:sz w:val="24"/>
          <w:lang w:val="en-US" w:eastAsia="ja-JP"/>
        </w:rPr>
      </w:pPr>
      <w:r w:rsidRPr="003D6C6C">
        <w:rPr>
          <w:rFonts w:eastAsia="TimesNewRoman"/>
          <w:sz w:val="24"/>
          <w:lang w:val="en-US" w:eastAsia="ja-JP"/>
        </w:rPr>
        <w:t>DMG infrastructure BSS). In such exchanges, the Power Management subfield set to 1 indicates that</w:t>
      </w:r>
    </w:p>
    <w:p w14:paraId="6866AC50" w14:textId="77777777" w:rsidR="003D6C6C" w:rsidRPr="003D6C6C" w:rsidRDefault="003D6C6C" w:rsidP="003D6C6C">
      <w:pPr>
        <w:autoSpaceDE w:val="0"/>
        <w:autoSpaceDN w:val="0"/>
        <w:adjustRightInd w:val="0"/>
        <w:rPr>
          <w:rFonts w:eastAsia="TimesNewRoman"/>
          <w:sz w:val="24"/>
          <w:lang w:val="en-US" w:eastAsia="ja-JP"/>
        </w:rPr>
      </w:pPr>
      <w:r w:rsidRPr="003D6C6C">
        <w:rPr>
          <w:rFonts w:eastAsia="TimesNewRoman"/>
          <w:sz w:val="24"/>
          <w:lang w:val="en-US" w:eastAsia="ja-JP"/>
        </w:rPr>
        <w:t>the STA will be in PS mode. The Power Management subfield set to 0 indicates that the STA will be</w:t>
      </w:r>
    </w:p>
    <w:p w14:paraId="45ED74FE" w14:textId="77777777" w:rsidR="003D6C6C" w:rsidRPr="003D6C6C" w:rsidRDefault="003D6C6C" w:rsidP="003D6C6C">
      <w:pPr>
        <w:autoSpaceDE w:val="0"/>
        <w:autoSpaceDN w:val="0"/>
        <w:adjustRightInd w:val="0"/>
        <w:rPr>
          <w:rFonts w:eastAsia="TimesNewRoman"/>
          <w:sz w:val="24"/>
          <w:lang w:val="en-US" w:eastAsia="ja-JP"/>
        </w:rPr>
      </w:pPr>
      <w:r w:rsidRPr="003D6C6C">
        <w:rPr>
          <w:rFonts w:eastAsia="TimesNewRoman"/>
          <w:sz w:val="24"/>
          <w:lang w:val="en-US" w:eastAsia="ja-JP"/>
        </w:rPr>
        <w:t>in active mode.</w:t>
      </w:r>
    </w:p>
    <w:p w14:paraId="4A833842" w14:textId="5722F424" w:rsidR="003D6C6C" w:rsidRPr="003D6C6C" w:rsidRDefault="003D6C6C" w:rsidP="0031542D">
      <w:pPr>
        <w:rPr>
          <w:sz w:val="24"/>
          <w:szCs w:val="24"/>
        </w:rPr>
      </w:pPr>
    </w:p>
    <w:p w14:paraId="72FCE5E9" w14:textId="6EF510C6" w:rsidR="003D6C6C" w:rsidRDefault="003D6C6C" w:rsidP="0031542D">
      <w:pPr>
        <w:rPr>
          <w:sz w:val="24"/>
          <w:szCs w:val="24"/>
        </w:rPr>
      </w:pPr>
      <w:r>
        <w:rPr>
          <w:sz w:val="24"/>
          <w:szCs w:val="24"/>
        </w:rPr>
        <w:t>With</w:t>
      </w:r>
    </w:p>
    <w:p w14:paraId="04AAD139" w14:textId="49745DB3" w:rsidR="003D6C6C" w:rsidRPr="003D6C6C" w:rsidRDefault="003D6C6C" w:rsidP="003D6C6C">
      <w:pPr>
        <w:autoSpaceDE w:val="0"/>
        <w:autoSpaceDN w:val="0"/>
        <w:adjustRightInd w:val="0"/>
        <w:rPr>
          <w:rFonts w:eastAsia="TimesNewRoman"/>
          <w:sz w:val="24"/>
          <w:lang w:val="en-US" w:eastAsia="ja-JP"/>
        </w:rPr>
      </w:pPr>
      <w:r w:rsidRPr="003D6C6C">
        <w:rPr>
          <w:rFonts w:eastAsia="TimesNewRoman"/>
          <w:i/>
          <w:sz w:val="24"/>
          <w:lang w:val="en-US" w:eastAsia="ja-JP"/>
        </w:rPr>
        <w:t xml:space="preserve">— </w:t>
      </w:r>
      <w:r w:rsidRPr="003D6C6C">
        <w:rPr>
          <w:rFonts w:eastAsia="TimesNewRoman"/>
          <w:sz w:val="24"/>
          <w:lang w:val="en-US" w:eastAsia="ja-JP"/>
        </w:rPr>
        <w:t>When used in frame exchanges as described in 11.2.3 (Power management in a non-DMG infrastructure network) and 11.2.7 (Power management in a PBSS and</w:t>
      </w:r>
      <w:r>
        <w:rPr>
          <w:rFonts w:eastAsia="TimesNewRoman"/>
          <w:sz w:val="24"/>
          <w:lang w:val="en-US" w:eastAsia="ja-JP"/>
        </w:rPr>
        <w:t xml:space="preserve"> </w:t>
      </w:r>
      <w:r w:rsidRPr="003D6C6C">
        <w:rPr>
          <w:rFonts w:eastAsia="TimesNewRoman"/>
          <w:sz w:val="24"/>
          <w:lang w:val="en-US" w:eastAsia="ja-JP"/>
        </w:rPr>
        <w:t>DMG infrastructure BSS)</w:t>
      </w:r>
      <w:r>
        <w:rPr>
          <w:rFonts w:eastAsia="TimesNewRoman"/>
          <w:sz w:val="24"/>
          <w:lang w:val="en-US" w:eastAsia="ja-JP"/>
        </w:rPr>
        <w:t xml:space="preserve">, </w:t>
      </w:r>
      <w:r w:rsidR="00701649">
        <w:rPr>
          <w:rFonts w:eastAsia="TimesNewRoman"/>
          <w:sz w:val="24"/>
          <w:lang w:val="en-US" w:eastAsia="ja-JP"/>
        </w:rPr>
        <w:t>t</w:t>
      </w:r>
      <w:r w:rsidRPr="003D6C6C">
        <w:rPr>
          <w:rFonts w:eastAsia="TimesNewRoman"/>
          <w:sz w:val="24"/>
          <w:lang w:val="en-US" w:eastAsia="ja-JP"/>
        </w:rPr>
        <w:t xml:space="preserve">he Power Management subfield is set to 1 </w:t>
      </w:r>
      <w:r>
        <w:rPr>
          <w:rFonts w:eastAsia="TimesNewRoman"/>
          <w:sz w:val="24"/>
          <w:lang w:val="en-US" w:eastAsia="ja-JP"/>
        </w:rPr>
        <w:t>to indicate</w:t>
      </w:r>
      <w:r w:rsidRPr="003D6C6C">
        <w:rPr>
          <w:rFonts w:eastAsia="TimesNewRoman"/>
          <w:sz w:val="24"/>
          <w:lang w:val="en-US" w:eastAsia="ja-JP"/>
        </w:rPr>
        <w:t xml:space="preserve"> that the STA will be in PS mode</w:t>
      </w:r>
      <w:r>
        <w:rPr>
          <w:rFonts w:eastAsia="TimesNewRoman"/>
          <w:sz w:val="24"/>
          <w:lang w:val="en-US" w:eastAsia="ja-JP"/>
        </w:rPr>
        <w:t xml:space="preserve"> and</w:t>
      </w:r>
      <w:r w:rsidRPr="003D6C6C">
        <w:rPr>
          <w:rFonts w:eastAsia="TimesNewRoman"/>
          <w:sz w:val="24"/>
          <w:lang w:val="en-US" w:eastAsia="ja-JP"/>
        </w:rPr>
        <w:t xml:space="preserve"> set to 0 </w:t>
      </w:r>
      <w:r>
        <w:rPr>
          <w:rFonts w:eastAsia="TimesNewRoman"/>
          <w:sz w:val="24"/>
          <w:lang w:val="en-US" w:eastAsia="ja-JP"/>
        </w:rPr>
        <w:t xml:space="preserve">to </w:t>
      </w:r>
      <w:r w:rsidRPr="003D6C6C">
        <w:rPr>
          <w:rFonts w:eastAsia="TimesNewRoman"/>
          <w:sz w:val="24"/>
          <w:lang w:val="en-US" w:eastAsia="ja-JP"/>
        </w:rPr>
        <w:t>indicate that the STA will be</w:t>
      </w:r>
      <w:r>
        <w:rPr>
          <w:rFonts w:eastAsia="TimesNewRoman"/>
          <w:sz w:val="24"/>
          <w:lang w:val="en-US" w:eastAsia="ja-JP"/>
        </w:rPr>
        <w:t xml:space="preserve"> </w:t>
      </w:r>
      <w:r w:rsidRPr="003D6C6C">
        <w:rPr>
          <w:rFonts w:eastAsia="TimesNewRoman"/>
          <w:sz w:val="24"/>
          <w:lang w:val="en-US" w:eastAsia="ja-JP"/>
        </w:rPr>
        <w:t>in active mode.</w:t>
      </w:r>
    </w:p>
    <w:p w14:paraId="72438382" w14:textId="745439B1" w:rsidR="003D6C6C" w:rsidRDefault="003D6C6C" w:rsidP="0031542D">
      <w:pPr>
        <w:rPr>
          <w:sz w:val="24"/>
          <w:szCs w:val="24"/>
        </w:rPr>
      </w:pPr>
    </w:p>
    <w:p w14:paraId="5E362E50" w14:textId="03DF8FB3" w:rsidR="00701649" w:rsidRDefault="00701649" w:rsidP="0031542D">
      <w:pPr>
        <w:rPr>
          <w:sz w:val="24"/>
          <w:szCs w:val="24"/>
        </w:rPr>
      </w:pPr>
    </w:p>
    <w:p w14:paraId="3298814C" w14:textId="18B7534C" w:rsidR="00701649" w:rsidRDefault="00701649" w:rsidP="0031542D">
      <w:pPr>
        <w:rPr>
          <w:sz w:val="24"/>
          <w:szCs w:val="24"/>
        </w:rPr>
      </w:pPr>
      <w:r>
        <w:rPr>
          <w:sz w:val="24"/>
          <w:szCs w:val="24"/>
        </w:rPr>
        <w:t>Comment from Mark Rison:</w:t>
      </w:r>
    </w:p>
    <w:p w14:paraId="4A46AD4E"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I think I like the direction in 22/0519r0 but I have some comments:</w:t>
      </w:r>
    </w:p>
    <w:p w14:paraId="147372C3"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w:t>
      </w:r>
    </w:p>
    <w:p w14:paraId="2C066C1F"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w:t>
      </w:r>
      <w:r w:rsidRPr="00701649">
        <w:rPr>
          <w:rFonts w:ascii="Courier New" w:eastAsia="Times New Roman" w:hAnsi="Courier New" w:cs="Courier New"/>
          <w:color w:val="212121"/>
          <w:sz w:val="24"/>
          <w:szCs w:val="24"/>
          <w:lang w:val="en-US"/>
        </w:rPr>
        <w:t>When used in frame exchanges as described in 11.2</w:t>
      </w:r>
      <w:r w:rsidRPr="00701649">
        <w:rPr>
          <w:rFonts w:ascii="Courier New" w:eastAsia="Times New Roman" w:hAnsi="Courier New" w:cs="Courier New"/>
          <w:color w:val="212121"/>
          <w:sz w:val="20"/>
          <w:lang w:val="en-US"/>
        </w:rPr>
        <w:t>.x" is</w:t>
      </w:r>
    </w:p>
    <w:p w14:paraId="0D6EAD78"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a bit vague, because I think that the xreffed locations sometimes</w:t>
      </w:r>
    </w:p>
    <w:p w14:paraId="6A017DA7"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say that the bit is not used/valid</w:t>
      </w:r>
    </w:p>
    <w:p w14:paraId="563E5E30"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w:t>
      </w:r>
    </w:p>
    <w:p w14:paraId="31B02E35"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Should the remaining bullets, viz.</w:t>
      </w:r>
    </w:p>
    <w:p w14:paraId="4EE967C4"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w:t>
      </w:r>
    </w:p>
    <w:p w14:paraId="6B3EB31A"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alibri" w:eastAsia="Times New Roman" w:hAnsi="Calibri" w:cs="Calibri"/>
          <w:i/>
          <w:iCs/>
          <w:color w:val="212121"/>
          <w:sz w:val="24"/>
          <w:szCs w:val="24"/>
          <w:lang w:val="en-US"/>
        </w:rPr>
        <w:t>— The Power Management subfield is reserved in all Management frames transmitted by a STA to an</w:t>
      </w:r>
    </w:p>
    <w:p w14:paraId="5F69D1AC"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alibri" w:eastAsia="Times New Roman" w:hAnsi="Calibri" w:cs="Calibri"/>
          <w:i/>
          <w:iCs/>
          <w:color w:val="212121"/>
          <w:sz w:val="24"/>
          <w:szCs w:val="24"/>
          <w:lang w:val="en-US"/>
        </w:rPr>
        <w:t>AP or PCP with which it is not associated.</w:t>
      </w:r>
    </w:p>
    <w:p w14:paraId="799D9C9B"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alibri" w:eastAsia="Times New Roman" w:hAnsi="Calibri" w:cs="Calibri"/>
          <w:i/>
          <w:iCs/>
          <w:color w:val="212121"/>
          <w:sz w:val="24"/>
          <w:szCs w:val="24"/>
          <w:lang w:val="en-US"/>
        </w:rPr>
        <w:t> </w:t>
      </w:r>
    </w:p>
    <w:p w14:paraId="2E8DE071"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alibri" w:eastAsia="Times New Roman" w:hAnsi="Calibri" w:cs="Calibri"/>
          <w:i/>
          <w:iCs/>
          <w:color w:val="212121"/>
          <w:sz w:val="24"/>
          <w:szCs w:val="24"/>
          <w:lang w:val="en-US"/>
        </w:rPr>
        <w:t>— The Power Management subfield is reserved in all frames transmitted by the AP.</w:t>
      </w:r>
    </w:p>
    <w:p w14:paraId="13E82BE4"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w:t>
      </w:r>
    </w:p>
    <w:p w14:paraId="4CE87F54"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just become:</w:t>
      </w:r>
    </w:p>
    <w:p w14:paraId="0E698785"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w:t>
      </w:r>
    </w:p>
    <w:p w14:paraId="40F31399" w14:textId="2CEE2D2A" w:rsidR="00701649" w:rsidRPr="00701649" w:rsidRDefault="00701649" w:rsidP="00B70AD6">
      <w:pPr>
        <w:shd w:val="clear" w:color="auto" w:fill="FFFFFF"/>
        <w:ind w:firstLine="720"/>
        <w:rPr>
          <w:rFonts w:ascii="Segoe UI" w:eastAsia="Times New Roman" w:hAnsi="Segoe UI" w:cs="Segoe UI"/>
          <w:color w:val="212121"/>
          <w:sz w:val="23"/>
          <w:szCs w:val="23"/>
          <w:lang w:val="en-US"/>
        </w:rPr>
      </w:pPr>
      <w:r w:rsidRPr="00701649">
        <w:rPr>
          <w:rFonts w:ascii="Courier New" w:eastAsia="Times New Roman" w:hAnsi="Courier New" w:cs="Courier New"/>
          <w:i/>
          <w:iCs/>
          <w:color w:val="212121"/>
          <w:sz w:val="24"/>
          <w:szCs w:val="24"/>
          <w:lang w:val="en-US"/>
        </w:rPr>
        <w:t>— Otherwise, the Power Management subfield is reserved</w:t>
      </w:r>
    </w:p>
    <w:p w14:paraId="4843B457"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w:t>
      </w:r>
    </w:p>
    <w:p w14:paraId="686A5827"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w:t>
      </w:r>
    </w:p>
    <w:p w14:paraId="52C4B53F"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Or are people going to argue that there are situations where the bit</w:t>
      </w:r>
    </w:p>
    <w:p w14:paraId="5F6A0CFF"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is undefined (i.e. might be 0 or might be 1)?</w:t>
      </w:r>
    </w:p>
    <w:p w14:paraId="64C9D77B" w14:textId="6AC11A8F" w:rsidR="00701649" w:rsidRDefault="00701649" w:rsidP="0031542D">
      <w:pPr>
        <w:rPr>
          <w:sz w:val="24"/>
          <w:szCs w:val="24"/>
        </w:rPr>
      </w:pPr>
    </w:p>
    <w:p w14:paraId="0D24C2DC" w14:textId="7675BC41" w:rsidR="00701649" w:rsidRDefault="00701649" w:rsidP="0031542D">
      <w:pPr>
        <w:rPr>
          <w:sz w:val="24"/>
          <w:szCs w:val="24"/>
        </w:rPr>
      </w:pPr>
    </w:p>
    <w:p w14:paraId="1DC4113C" w14:textId="50F6723F" w:rsidR="00701649" w:rsidRDefault="00701649" w:rsidP="0031542D">
      <w:pPr>
        <w:rPr>
          <w:sz w:val="24"/>
          <w:szCs w:val="24"/>
        </w:rPr>
      </w:pPr>
      <w:r>
        <w:rPr>
          <w:sz w:val="24"/>
          <w:szCs w:val="24"/>
        </w:rPr>
        <w:t>My response</w:t>
      </w:r>
    </w:p>
    <w:p w14:paraId="1989AF09" w14:textId="7E0B5ECB" w:rsidR="00701649" w:rsidRDefault="00701649" w:rsidP="0031542D">
      <w:pPr>
        <w:rPr>
          <w:sz w:val="24"/>
          <w:szCs w:val="24"/>
        </w:rPr>
      </w:pPr>
      <w:r>
        <w:rPr>
          <w:sz w:val="24"/>
          <w:szCs w:val="24"/>
        </w:rPr>
        <w:t xml:space="preserve">Last thing first, </w:t>
      </w:r>
      <w:r w:rsidR="00B70AD6">
        <w:rPr>
          <w:sz w:val="24"/>
          <w:szCs w:val="24"/>
        </w:rPr>
        <w:t>the suggested otherwise” statement leaves the reader rel</w:t>
      </w:r>
      <w:r w:rsidR="00FD4B25">
        <w:rPr>
          <w:sz w:val="24"/>
          <w:szCs w:val="24"/>
        </w:rPr>
        <w:t>ying</w:t>
      </w:r>
      <w:r w:rsidR="00B70AD6">
        <w:rPr>
          <w:sz w:val="24"/>
          <w:szCs w:val="24"/>
        </w:rPr>
        <w:t xml:space="preserve"> on the clause 11 to provide these essential bits of information</w:t>
      </w:r>
      <w:r w:rsidR="00FD4B25">
        <w:rPr>
          <w:sz w:val="24"/>
          <w:szCs w:val="24"/>
        </w:rPr>
        <w:t xml:space="preserve"> and to me reads wrong in that it says “other than what’s in Clause 11” when it is a standalone at the moment? </w:t>
      </w:r>
      <w:r w:rsidR="00B70AD6">
        <w:rPr>
          <w:sz w:val="24"/>
          <w:szCs w:val="24"/>
        </w:rPr>
        <w:t xml:space="preserve"> </w:t>
      </w:r>
      <w:r>
        <w:rPr>
          <w:sz w:val="24"/>
          <w:szCs w:val="24"/>
        </w:rPr>
        <w:t>I think the statement</w:t>
      </w:r>
      <w:r w:rsidR="00FD4B25">
        <w:rPr>
          <w:sz w:val="24"/>
          <w:szCs w:val="24"/>
        </w:rPr>
        <w:t>s</w:t>
      </w:r>
      <w:r>
        <w:rPr>
          <w:sz w:val="24"/>
          <w:szCs w:val="24"/>
        </w:rPr>
        <w:t xml:space="preserve"> </w:t>
      </w:r>
      <w:r w:rsidR="00FD4B25">
        <w:rPr>
          <w:sz w:val="24"/>
          <w:szCs w:val="24"/>
        </w:rPr>
        <w:t>are</w:t>
      </w:r>
      <w:r>
        <w:rPr>
          <w:sz w:val="24"/>
          <w:szCs w:val="24"/>
        </w:rPr>
        <w:t xml:space="preserve"> important and need to be made</w:t>
      </w:r>
      <w:r w:rsidR="00FD4B25">
        <w:rPr>
          <w:sz w:val="24"/>
          <w:szCs w:val="24"/>
        </w:rPr>
        <w:t xml:space="preserve"> without reference (if we have them at all)</w:t>
      </w:r>
      <w:r>
        <w:rPr>
          <w:sz w:val="24"/>
          <w:szCs w:val="24"/>
        </w:rPr>
        <w:t xml:space="preserve">.  </w:t>
      </w:r>
      <w:r w:rsidR="00971946">
        <w:rPr>
          <w:sz w:val="24"/>
          <w:szCs w:val="24"/>
        </w:rPr>
        <w:t xml:space="preserve">Also this goes much further than the comment.  So working on principle of changing as little </w:t>
      </w:r>
      <w:r w:rsidR="00FD4B25">
        <w:rPr>
          <w:sz w:val="24"/>
          <w:szCs w:val="24"/>
        </w:rPr>
        <w:t>a</w:t>
      </w:r>
      <w:r w:rsidR="00971946">
        <w:rPr>
          <w:sz w:val="24"/>
          <w:szCs w:val="24"/>
        </w:rPr>
        <w:t>s possible, I would leave them in.</w:t>
      </w:r>
    </w:p>
    <w:p w14:paraId="34CF8155" w14:textId="0DC07467" w:rsidR="00701649" w:rsidRDefault="00701649" w:rsidP="0031542D">
      <w:pPr>
        <w:rPr>
          <w:sz w:val="24"/>
          <w:szCs w:val="24"/>
        </w:rPr>
      </w:pPr>
    </w:p>
    <w:p w14:paraId="2B3E5129" w14:textId="6C5118BE" w:rsidR="00701649" w:rsidRDefault="00701649" w:rsidP="0031542D">
      <w:pPr>
        <w:rPr>
          <w:sz w:val="24"/>
          <w:szCs w:val="24"/>
        </w:rPr>
      </w:pPr>
      <w:r>
        <w:rPr>
          <w:sz w:val="24"/>
          <w:szCs w:val="24"/>
        </w:rPr>
        <w:t>Frame ex</w:t>
      </w:r>
      <w:r w:rsidR="00B70AD6">
        <w:rPr>
          <w:sz w:val="24"/>
          <w:szCs w:val="24"/>
        </w:rPr>
        <w:t>c</w:t>
      </w:r>
      <w:r>
        <w:rPr>
          <w:sz w:val="24"/>
          <w:szCs w:val="24"/>
        </w:rPr>
        <w:t>h</w:t>
      </w:r>
      <w:r w:rsidR="00B70AD6">
        <w:rPr>
          <w:sz w:val="24"/>
          <w:szCs w:val="24"/>
        </w:rPr>
        <w:t>a</w:t>
      </w:r>
      <w:r>
        <w:rPr>
          <w:sz w:val="24"/>
          <w:szCs w:val="24"/>
        </w:rPr>
        <w:t>nges in 11.2.3</w:t>
      </w:r>
      <w:r w:rsidR="00B70AD6">
        <w:rPr>
          <w:sz w:val="24"/>
          <w:szCs w:val="24"/>
        </w:rPr>
        <w:t xml:space="preserve">.  This is a very detailed clause and </w:t>
      </w:r>
      <w:r w:rsidR="00FD4B25">
        <w:rPr>
          <w:sz w:val="24"/>
          <w:szCs w:val="24"/>
        </w:rPr>
        <w:t>t</w:t>
      </w:r>
      <w:r w:rsidR="00B70AD6">
        <w:rPr>
          <w:sz w:val="24"/>
          <w:szCs w:val="24"/>
        </w:rPr>
        <w:t>he settings o</w:t>
      </w:r>
      <w:r w:rsidR="00FD4B25">
        <w:rPr>
          <w:sz w:val="24"/>
          <w:szCs w:val="24"/>
        </w:rPr>
        <w:t>f</w:t>
      </w:r>
      <w:r w:rsidR="00B70AD6">
        <w:rPr>
          <w:sz w:val="24"/>
          <w:szCs w:val="24"/>
        </w:rPr>
        <w:t xml:space="preserve"> the power management bit </w:t>
      </w:r>
      <w:r w:rsidR="00FD4B25">
        <w:rPr>
          <w:sz w:val="24"/>
          <w:szCs w:val="24"/>
        </w:rPr>
        <w:t>seemed to be well</w:t>
      </w:r>
      <w:r w:rsidR="00B70AD6">
        <w:rPr>
          <w:sz w:val="24"/>
          <w:szCs w:val="24"/>
        </w:rPr>
        <w:t xml:space="preserve"> defined</w:t>
      </w:r>
      <w:r w:rsidR="00FD4B25">
        <w:rPr>
          <w:sz w:val="24"/>
          <w:szCs w:val="24"/>
        </w:rPr>
        <w:t>.</w:t>
      </w:r>
      <w:r w:rsidR="00B70AD6">
        <w:rPr>
          <w:sz w:val="24"/>
          <w:szCs w:val="24"/>
        </w:rPr>
        <w:t xml:space="preserve">  All Clause 9.2.4.1.7 needs do is refer to the clause 11.2.3 and 11.2.7.  The suggested wording maybe be vague but it is not incorrect and </w:t>
      </w:r>
      <w:r w:rsidR="00FD4B25">
        <w:rPr>
          <w:sz w:val="24"/>
          <w:szCs w:val="24"/>
        </w:rPr>
        <w:t xml:space="preserve">I think the suggested wording </w:t>
      </w:r>
      <w:r w:rsidR="00B70AD6">
        <w:rPr>
          <w:sz w:val="24"/>
          <w:szCs w:val="24"/>
        </w:rPr>
        <w:t xml:space="preserve">just says </w:t>
      </w:r>
      <w:r w:rsidR="00B70AD6">
        <w:rPr>
          <w:sz w:val="24"/>
          <w:szCs w:val="24"/>
        </w:rPr>
        <w:lastRenderedPageBreak/>
        <w:t xml:space="preserve">“look at 11.2.3 and note that 1 means power save and 0 means active mode”.  I think that is good enough. </w:t>
      </w:r>
    </w:p>
    <w:p w14:paraId="14AA183C" w14:textId="249C9562" w:rsidR="00B70AD6" w:rsidRDefault="00B70AD6" w:rsidP="0031542D">
      <w:pPr>
        <w:rPr>
          <w:sz w:val="24"/>
          <w:szCs w:val="24"/>
        </w:rPr>
      </w:pPr>
    </w:p>
    <w:p w14:paraId="261B8E58" w14:textId="0D040DCE" w:rsidR="00B70AD6" w:rsidRDefault="00971946" w:rsidP="0031542D">
      <w:pPr>
        <w:rPr>
          <w:sz w:val="24"/>
          <w:szCs w:val="24"/>
        </w:rPr>
      </w:pPr>
      <w:r>
        <w:rPr>
          <w:sz w:val="24"/>
          <w:szCs w:val="24"/>
        </w:rPr>
        <w:t>HOWEVER:</w:t>
      </w:r>
    </w:p>
    <w:p w14:paraId="7E5DE34A" w14:textId="5B4D238F" w:rsidR="00B70AD6" w:rsidRDefault="00B70AD6" w:rsidP="0031542D">
      <w:pPr>
        <w:rPr>
          <w:sz w:val="24"/>
          <w:szCs w:val="24"/>
        </w:rPr>
      </w:pPr>
      <w:r>
        <w:rPr>
          <w:sz w:val="24"/>
          <w:szCs w:val="24"/>
        </w:rPr>
        <w:t xml:space="preserve">One possible solution maybe </w:t>
      </w:r>
      <w:r w:rsidR="00971946">
        <w:rPr>
          <w:sz w:val="24"/>
          <w:szCs w:val="24"/>
        </w:rPr>
        <w:t xml:space="preserve">is </w:t>
      </w:r>
      <w:r>
        <w:rPr>
          <w:sz w:val="24"/>
          <w:szCs w:val="24"/>
        </w:rPr>
        <w:t>to punt everything</w:t>
      </w:r>
      <w:r w:rsidR="00971946">
        <w:rPr>
          <w:sz w:val="24"/>
          <w:szCs w:val="24"/>
        </w:rPr>
        <w:t>, see Proposal B below</w:t>
      </w:r>
      <w:r>
        <w:rPr>
          <w:sz w:val="24"/>
          <w:szCs w:val="24"/>
        </w:rPr>
        <w:t>:</w:t>
      </w:r>
    </w:p>
    <w:p w14:paraId="5DCE0FD8" w14:textId="3AA4FDD6" w:rsidR="00971946" w:rsidRDefault="00971946" w:rsidP="00971946">
      <w:pPr>
        <w:rPr>
          <w:rFonts w:eastAsia="TimesNewRoman"/>
          <w:sz w:val="24"/>
          <w:lang w:val="en-US" w:eastAsia="ja-JP"/>
        </w:rPr>
      </w:pPr>
    </w:p>
    <w:p w14:paraId="4AF7BBC4" w14:textId="578B7B6D" w:rsidR="00971946" w:rsidRPr="003D6C6C" w:rsidRDefault="00971946" w:rsidP="00971946">
      <w:pPr>
        <w:rPr>
          <w:b/>
          <w:sz w:val="24"/>
          <w:szCs w:val="24"/>
        </w:rPr>
      </w:pPr>
      <w:r w:rsidRPr="003D6C6C">
        <w:rPr>
          <w:b/>
          <w:sz w:val="24"/>
          <w:szCs w:val="24"/>
        </w:rPr>
        <w:t>PROPOSAL</w:t>
      </w:r>
      <w:r>
        <w:rPr>
          <w:b/>
          <w:sz w:val="24"/>
          <w:szCs w:val="24"/>
        </w:rPr>
        <w:t xml:space="preserve"> A</w:t>
      </w:r>
    </w:p>
    <w:p w14:paraId="2D43896C" w14:textId="00B76360" w:rsidR="00971946" w:rsidRDefault="00971946" w:rsidP="00971946">
      <w:pPr>
        <w:rPr>
          <w:sz w:val="24"/>
          <w:szCs w:val="24"/>
        </w:rPr>
      </w:pPr>
      <w:r>
        <w:rPr>
          <w:sz w:val="24"/>
          <w:szCs w:val="24"/>
        </w:rPr>
        <w:t>REVISED</w:t>
      </w:r>
    </w:p>
    <w:p w14:paraId="166BFC1F" w14:textId="7E40C8C2" w:rsidR="00971946" w:rsidRDefault="00971946" w:rsidP="00971946">
      <w:pPr>
        <w:rPr>
          <w:sz w:val="24"/>
          <w:szCs w:val="24"/>
        </w:rPr>
      </w:pPr>
    </w:p>
    <w:p w14:paraId="68D3D3D2" w14:textId="10752599" w:rsidR="00971946" w:rsidRDefault="00971946" w:rsidP="00971946">
      <w:pPr>
        <w:rPr>
          <w:sz w:val="24"/>
          <w:szCs w:val="24"/>
        </w:rPr>
      </w:pPr>
      <w:r>
        <w:rPr>
          <w:sz w:val="24"/>
          <w:szCs w:val="24"/>
        </w:rPr>
        <w:t>At P904.48 Clause 9.2.4.1.7</w:t>
      </w:r>
    </w:p>
    <w:p w14:paraId="21722018" w14:textId="77777777" w:rsidR="00971946" w:rsidRDefault="00971946" w:rsidP="00971946">
      <w:pPr>
        <w:rPr>
          <w:sz w:val="24"/>
          <w:szCs w:val="24"/>
        </w:rPr>
      </w:pPr>
      <w:r>
        <w:rPr>
          <w:sz w:val="24"/>
          <w:szCs w:val="24"/>
        </w:rPr>
        <w:t xml:space="preserve">Replace </w:t>
      </w:r>
    </w:p>
    <w:p w14:paraId="3245F569" w14:textId="77777777" w:rsidR="00971946" w:rsidRPr="003D6C6C" w:rsidRDefault="00971946" w:rsidP="00971946">
      <w:pPr>
        <w:autoSpaceDE w:val="0"/>
        <w:autoSpaceDN w:val="0"/>
        <w:adjustRightInd w:val="0"/>
        <w:rPr>
          <w:rFonts w:eastAsia="TimesNewRoman"/>
          <w:sz w:val="24"/>
          <w:lang w:val="en-US" w:eastAsia="ja-JP"/>
        </w:rPr>
      </w:pPr>
      <w:r w:rsidRPr="003D6C6C">
        <w:rPr>
          <w:rFonts w:eastAsia="TimesNewRoman"/>
          <w:sz w:val="24"/>
          <w:lang w:val="en-US" w:eastAsia="ja-JP"/>
        </w:rPr>
        <w:t xml:space="preserve">— The Power Management subfield is valid </w:t>
      </w:r>
      <w:r w:rsidRPr="00B40C5F">
        <w:rPr>
          <w:rFonts w:eastAsia="TimesNewRoman"/>
          <w:sz w:val="24"/>
          <w:lang w:val="en-US" w:eastAsia="ja-JP"/>
        </w:rPr>
        <w:t xml:space="preserve">only </w:t>
      </w:r>
      <w:r w:rsidRPr="003D6C6C">
        <w:rPr>
          <w:rFonts w:eastAsia="TimesNewRoman"/>
          <w:sz w:val="24"/>
          <w:lang w:val="en-US" w:eastAsia="ja-JP"/>
        </w:rPr>
        <w:t>in frame exchanges as described in 11.2.3 (Power</w:t>
      </w:r>
    </w:p>
    <w:p w14:paraId="40E49BEE" w14:textId="77777777" w:rsidR="00971946" w:rsidRPr="003D6C6C" w:rsidRDefault="00971946" w:rsidP="00971946">
      <w:pPr>
        <w:autoSpaceDE w:val="0"/>
        <w:autoSpaceDN w:val="0"/>
        <w:adjustRightInd w:val="0"/>
        <w:rPr>
          <w:rFonts w:eastAsia="TimesNewRoman"/>
          <w:sz w:val="24"/>
          <w:lang w:val="en-US" w:eastAsia="ja-JP"/>
        </w:rPr>
      </w:pPr>
      <w:r w:rsidRPr="003D6C6C">
        <w:rPr>
          <w:rFonts w:eastAsia="TimesNewRoman"/>
          <w:sz w:val="24"/>
          <w:lang w:val="en-US" w:eastAsia="ja-JP"/>
        </w:rPr>
        <w:t>management in a non-DMG infrastructure network) and 11.2.7 (Power management in a PBSS and</w:t>
      </w:r>
    </w:p>
    <w:p w14:paraId="1D3ECAB0" w14:textId="77777777" w:rsidR="00971946" w:rsidRPr="003D6C6C" w:rsidRDefault="00971946" w:rsidP="00971946">
      <w:pPr>
        <w:autoSpaceDE w:val="0"/>
        <w:autoSpaceDN w:val="0"/>
        <w:adjustRightInd w:val="0"/>
        <w:rPr>
          <w:rFonts w:eastAsia="TimesNewRoman"/>
          <w:sz w:val="24"/>
          <w:lang w:val="en-US" w:eastAsia="ja-JP"/>
        </w:rPr>
      </w:pPr>
      <w:r w:rsidRPr="003D6C6C">
        <w:rPr>
          <w:rFonts w:eastAsia="TimesNewRoman"/>
          <w:sz w:val="24"/>
          <w:lang w:val="en-US" w:eastAsia="ja-JP"/>
        </w:rPr>
        <w:t>DMG infrastructure BSS). In such exchanges, the Power Management subfield set to 1 indicates that</w:t>
      </w:r>
    </w:p>
    <w:p w14:paraId="0CF27185" w14:textId="77777777" w:rsidR="00971946" w:rsidRPr="003D6C6C" w:rsidRDefault="00971946" w:rsidP="00971946">
      <w:pPr>
        <w:autoSpaceDE w:val="0"/>
        <w:autoSpaceDN w:val="0"/>
        <w:adjustRightInd w:val="0"/>
        <w:rPr>
          <w:rFonts w:eastAsia="TimesNewRoman"/>
          <w:sz w:val="24"/>
          <w:lang w:val="en-US" w:eastAsia="ja-JP"/>
        </w:rPr>
      </w:pPr>
      <w:r w:rsidRPr="003D6C6C">
        <w:rPr>
          <w:rFonts w:eastAsia="TimesNewRoman"/>
          <w:sz w:val="24"/>
          <w:lang w:val="en-US" w:eastAsia="ja-JP"/>
        </w:rPr>
        <w:t>the STA will be in PS mode. The Power Management subfield set to 0 indicates that the STA will be</w:t>
      </w:r>
    </w:p>
    <w:p w14:paraId="4BF9BBE7" w14:textId="77777777" w:rsidR="00971946" w:rsidRPr="003D6C6C" w:rsidRDefault="00971946" w:rsidP="00971946">
      <w:pPr>
        <w:autoSpaceDE w:val="0"/>
        <w:autoSpaceDN w:val="0"/>
        <w:adjustRightInd w:val="0"/>
        <w:rPr>
          <w:rFonts w:eastAsia="TimesNewRoman"/>
          <w:sz w:val="24"/>
          <w:lang w:val="en-US" w:eastAsia="ja-JP"/>
        </w:rPr>
      </w:pPr>
      <w:r w:rsidRPr="003D6C6C">
        <w:rPr>
          <w:rFonts w:eastAsia="TimesNewRoman"/>
          <w:sz w:val="24"/>
          <w:lang w:val="en-US" w:eastAsia="ja-JP"/>
        </w:rPr>
        <w:t>in active mode.</w:t>
      </w:r>
    </w:p>
    <w:p w14:paraId="46AA7CC9" w14:textId="77777777" w:rsidR="00971946" w:rsidRPr="003D6C6C" w:rsidRDefault="00971946" w:rsidP="00971946">
      <w:pPr>
        <w:rPr>
          <w:sz w:val="24"/>
          <w:szCs w:val="24"/>
        </w:rPr>
      </w:pPr>
    </w:p>
    <w:p w14:paraId="15820C21" w14:textId="77777777" w:rsidR="00971946" w:rsidRDefault="00971946" w:rsidP="00971946">
      <w:pPr>
        <w:rPr>
          <w:sz w:val="24"/>
          <w:szCs w:val="24"/>
        </w:rPr>
      </w:pPr>
      <w:r>
        <w:rPr>
          <w:sz w:val="24"/>
          <w:szCs w:val="24"/>
        </w:rPr>
        <w:t>With</w:t>
      </w:r>
    </w:p>
    <w:p w14:paraId="3918110D" w14:textId="77777777" w:rsidR="00971946" w:rsidRPr="003D6C6C" w:rsidRDefault="00971946" w:rsidP="00971946">
      <w:pPr>
        <w:autoSpaceDE w:val="0"/>
        <w:autoSpaceDN w:val="0"/>
        <w:adjustRightInd w:val="0"/>
        <w:rPr>
          <w:rFonts w:eastAsia="TimesNewRoman"/>
          <w:sz w:val="24"/>
          <w:lang w:val="en-US" w:eastAsia="ja-JP"/>
        </w:rPr>
      </w:pPr>
      <w:r w:rsidRPr="003D6C6C">
        <w:rPr>
          <w:rFonts w:eastAsia="TimesNewRoman"/>
          <w:i/>
          <w:sz w:val="24"/>
          <w:lang w:val="en-US" w:eastAsia="ja-JP"/>
        </w:rPr>
        <w:t xml:space="preserve">— </w:t>
      </w:r>
      <w:r w:rsidRPr="003D6C6C">
        <w:rPr>
          <w:rFonts w:eastAsia="TimesNewRoman"/>
          <w:sz w:val="24"/>
          <w:lang w:val="en-US" w:eastAsia="ja-JP"/>
        </w:rPr>
        <w:t>When used in frame exchanges as described in 11.2.3 (Power management in a non-DMG infrastructure network) and 11.2.7 (Power management in a PBSS and</w:t>
      </w:r>
      <w:r>
        <w:rPr>
          <w:rFonts w:eastAsia="TimesNewRoman"/>
          <w:sz w:val="24"/>
          <w:lang w:val="en-US" w:eastAsia="ja-JP"/>
        </w:rPr>
        <w:t xml:space="preserve"> </w:t>
      </w:r>
      <w:r w:rsidRPr="003D6C6C">
        <w:rPr>
          <w:rFonts w:eastAsia="TimesNewRoman"/>
          <w:sz w:val="24"/>
          <w:lang w:val="en-US" w:eastAsia="ja-JP"/>
        </w:rPr>
        <w:t>DMG infrastructure BSS)</w:t>
      </w:r>
      <w:r>
        <w:rPr>
          <w:rFonts w:eastAsia="TimesNewRoman"/>
          <w:sz w:val="24"/>
          <w:lang w:val="en-US" w:eastAsia="ja-JP"/>
        </w:rPr>
        <w:t>, t</w:t>
      </w:r>
      <w:r w:rsidRPr="003D6C6C">
        <w:rPr>
          <w:rFonts w:eastAsia="TimesNewRoman"/>
          <w:sz w:val="24"/>
          <w:lang w:val="en-US" w:eastAsia="ja-JP"/>
        </w:rPr>
        <w:t xml:space="preserve">he Power Management subfield is set to 1 </w:t>
      </w:r>
      <w:r>
        <w:rPr>
          <w:rFonts w:eastAsia="TimesNewRoman"/>
          <w:sz w:val="24"/>
          <w:lang w:val="en-US" w:eastAsia="ja-JP"/>
        </w:rPr>
        <w:t>to indicate</w:t>
      </w:r>
      <w:r w:rsidRPr="003D6C6C">
        <w:rPr>
          <w:rFonts w:eastAsia="TimesNewRoman"/>
          <w:sz w:val="24"/>
          <w:lang w:val="en-US" w:eastAsia="ja-JP"/>
        </w:rPr>
        <w:t xml:space="preserve"> that the STA will be in PS mode</w:t>
      </w:r>
      <w:r>
        <w:rPr>
          <w:rFonts w:eastAsia="TimesNewRoman"/>
          <w:sz w:val="24"/>
          <w:lang w:val="en-US" w:eastAsia="ja-JP"/>
        </w:rPr>
        <w:t xml:space="preserve"> and</w:t>
      </w:r>
      <w:r w:rsidRPr="003D6C6C">
        <w:rPr>
          <w:rFonts w:eastAsia="TimesNewRoman"/>
          <w:sz w:val="24"/>
          <w:lang w:val="en-US" w:eastAsia="ja-JP"/>
        </w:rPr>
        <w:t xml:space="preserve"> set to 0 </w:t>
      </w:r>
      <w:r>
        <w:rPr>
          <w:rFonts w:eastAsia="TimesNewRoman"/>
          <w:sz w:val="24"/>
          <w:lang w:val="en-US" w:eastAsia="ja-JP"/>
        </w:rPr>
        <w:t xml:space="preserve">to </w:t>
      </w:r>
      <w:r w:rsidRPr="003D6C6C">
        <w:rPr>
          <w:rFonts w:eastAsia="TimesNewRoman"/>
          <w:sz w:val="24"/>
          <w:lang w:val="en-US" w:eastAsia="ja-JP"/>
        </w:rPr>
        <w:t>indicate that the STA will be</w:t>
      </w:r>
      <w:r>
        <w:rPr>
          <w:rFonts w:eastAsia="TimesNewRoman"/>
          <w:sz w:val="24"/>
          <w:lang w:val="en-US" w:eastAsia="ja-JP"/>
        </w:rPr>
        <w:t xml:space="preserve"> </w:t>
      </w:r>
      <w:r w:rsidRPr="003D6C6C">
        <w:rPr>
          <w:rFonts w:eastAsia="TimesNewRoman"/>
          <w:sz w:val="24"/>
          <w:lang w:val="en-US" w:eastAsia="ja-JP"/>
        </w:rPr>
        <w:t>in active mode.</w:t>
      </w:r>
    </w:p>
    <w:p w14:paraId="1662B7E9" w14:textId="44F4691E" w:rsidR="00971946" w:rsidRDefault="00971946" w:rsidP="00971946">
      <w:pPr>
        <w:rPr>
          <w:sz w:val="24"/>
          <w:szCs w:val="24"/>
        </w:rPr>
      </w:pPr>
    </w:p>
    <w:p w14:paraId="13E6475F" w14:textId="50E333AD" w:rsidR="00971946" w:rsidRPr="003D6C6C" w:rsidRDefault="00971946" w:rsidP="00971946">
      <w:pPr>
        <w:rPr>
          <w:b/>
          <w:sz w:val="24"/>
          <w:szCs w:val="24"/>
        </w:rPr>
      </w:pPr>
      <w:r w:rsidRPr="003D6C6C">
        <w:rPr>
          <w:b/>
          <w:sz w:val="24"/>
          <w:szCs w:val="24"/>
        </w:rPr>
        <w:t>PROPOSAL</w:t>
      </w:r>
      <w:r>
        <w:rPr>
          <w:b/>
          <w:sz w:val="24"/>
          <w:szCs w:val="24"/>
        </w:rPr>
        <w:t xml:space="preserve"> B</w:t>
      </w:r>
    </w:p>
    <w:p w14:paraId="044CB11A" w14:textId="77777777" w:rsidR="00971946" w:rsidRDefault="00971946" w:rsidP="00971946">
      <w:pPr>
        <w:rPr>
          <w:sz w:val="24"/>
          <w:szCs w:val="24"/>
        </w:rPr>
      </w:pPr>
      <w:r>
        <w:rPr>
          <w:sz w:val="24"/>
          <w:szCs w:val="24"/>
        </w:rPr>
        <w:t>REVISED</w:t>
      </w:r>
    </w:p>
    <w:p w14:paraId="756470EE" w14:textId="77777777" w:rsidR="00971946" w:rsidRDefault="00971946" w:rsidP="00971946">
      <w:pPr>
        <w:rPr>
          <w:sz w:val="24"/>
          <w:szCs w:val="24"/>
        </w:rPr>
      </w:pPr>
      <w:r>
        <w:rPr>
          <w:sz w:val="24"/>
          <w:szCs w:val="24"/>
        </w:rPr>
        <w:t>At P904.54 Clause 9.2.4.1.7</w:t>
      </w:r>
    </w:p>
    <w:p w14:paraId="294D57E5" w14:textId="77777777" w:rsidR="00971946" w:rsidRDefault="00971946" w:rsidP="00971946">
      <w:pPr>
        <w:rPr>
          <w:sz w:val="24"/>
          <w:szCs w:val="24"/>
        </w:rPr>
      </w:pPr>
    </w:p>
    <w:p w14:paraId="1731A25E" w14:textId="77777777" w:rsidR="00971946" w:rsidRPr="00971946" w:rsidRDefault="00971946" w:rsidP="00971946">
      <w:pPr>
        <w:rPr>
          <w:sz w:val="24"/>
          <w:szCs w:val="24"/>
          <w:u w:val="single"/>
        </w:rPr>
      </w:pPr>
      <w:r w:rsidRPr="00971946">
        <w:rPr>
          <w:sz w:val="24"/>
          <w:szCs w:val="24"/>
          <w:u w:val="single"/>
        </w:rPr>
        <w:t xml:space="preserve">Delete </w:t>
      </w:r>
    </w:p>
    <w:p w14:paraId="662EB023" w14:textId="77777777" w:rsidR="00971946" w:rsidRPr="00971946" w:rsidRDefault="00971946" w:rsidP="00971946">
      <w:pPr>
        <w:autoSpaceDE w:val="0"/>
        <w:autoSpaceDN w:val="0"/>
        <w:adjustRightInd w:val="0"/>
        <w:rPr>
          <w:rFonts w:eastAsia="TimesNewRoman"/>
          <w:lang w:val="en-US" w:eastAsia="ja-JP"/>
        </w:rPr>
      </w:pPr>
      <w:r w:rsidRPr="00971946">
        <w:rPr>
          <w:rFonts w:eastAsia="TimesNewRoman"/>
          <w:lang w:val="en-US" w:eastAsia="ja-JP"/>
        </w:rPr>
        <w:t>In an infrastructure BSS or PBSS, the following applies:</w:t>
      </w:r>
    </w:p>
    <w:p w14:paraId="28280D34" w14:textId="77777777" w:rsidR="00971946" w:rsidRPr="00971946" w:rsidRDefault="00971946" w:rsidP="00971946">
      <w:pPr>
        <w:autoSpaceDE w:val="0"/>
        <w:autoSpaceDN w:val="0"/>
        <w:adjustRightInd w:val="0"/>
        <w:rPr>
          <w:rFonts w:eastAsia="TimesNewRoman"/>
          <w:lang w:val="en-US" w:eastAsia="ja-JP"/>
        </w:rPr>
      </w:pPr>
      <w:r w:rsidRPr="00971946">
        <w:rPr>
          <w:rFonts w:eastAsia="TimesNewRoman"/>
          <w:lang w:val="en-US" w:eastAsia="ja-JP"/>
        </w:rPr>
        <w:t>— The Power Management subfield is valid only in frame exchanges as described in 11.2.3 (Power</w:t>
      </w:r>
      <w:r>
        <w:rPr>
          <w:rFonts w:eastAsia="TimesNewRoman"/>
          <w:lang w:val="en-US" w:eastAsia="ja-JP"/>
        </w:rPr>
        <w:t xml:space="preserve"> </w:t>
      </w:r>
      <w:r w:rsidRPr="00971946">
        <w:rPr>
          <w:rFonts w:eastAsia="TimesNewRoman"/>
          <w:lang w:val="en-US" w:eastAsia="ja-JP"/>
        </w:rPr>
        <w:t>management in a non-DMG infrastructure network) and 11.2.7 (Power management in a PBSS and</w:t>
      </w:r>
      <w:r>
        <w:rPr>
          <w:rFonts w:eastAsia="TimesNewRoman"/>
          <w:lang w:val="en-US" w:eastAsia="ja-JP"/>
        </w:rPr>
        <w:t xml:space="preserve"> </w:t>
      </w:r>
      <w:r w:rsidRPr="00971946">
        <w:rPr>
          <w:rFonts w:eastAsia="TimesNewRoman"/>
          <w:lang w:val="en-US" w:eastAsia="ja-JP"/>
        </w:rPr>
        <w:t>DMG infrastructure BSS). In such exchanges, the Power Management subfield set to 1 indicates that</w:t>
      </w:r>
      <w:r>
        <w:rPr>
          <w:rFonts w:eastAsia="TimesNewRoman"/>
          <w:lang w:val="en-US" w:eastAsia="ja-JP"/>
        </w:rPr>
        <w:t xml:space="preserve"> </w:t>
      </w:r>
      <w:r w:rsidRPr="00971946">
        <w:rPr>
          <w:rFonts w:eastAsia="TimesNewRoman"/>
          <w:lang w:val="en-US" w:eastAsia="ja-JP"/>
        </w:rPr>
        <w:t>the STA will be in PS mode. The Power Management subfield set to 0 indicates that the STA will be</w:t>
      </w:r>
      <w:r>
        <w:rPr>
          <w:rFonts w:eastAsia="TimesNewRoman"/>
          <w:lang w:val="en-US" w:eastAsia="ja-JP"/>
        </w:rPr>
        <w:t xml:space="preserve"> </w:t>
      </w:r>
      <w:r w:rsidRPr="00971946">
        <w:rPr>
          <w:rFonts w:eastAsia="TimesNewRoman"/>
          <w:lang w:val="en-US" w:eastAsia="ja-JP"/>
        </w:rPr>
        <w:t>in active mode.</w:t>
      </w:r>
    </w:p>
    <w:p w14:paraId="238F393E" w14:textId="77777777" w:rsidR="00971946" w:rsidRPr="00971946" w:rsidRDefault="00971946" w:rsidP="00971946">
      <w:pPr>
        <w:autoSpaceDE w:val="0"/>
        <w:autoSpaceDN w:val="0"/>
        <w:adjustRightInd w:val="0"/>
        <w:rPr>
          <w:rFonts w:eastAsia="TimesNewRoman"/>
          <w:lang w:val="en-US" w:eastAsia="ja-JP"/>
        </w:rPr>
      </w:pPr>
      <w:r w:rsidRPr="00971946">
        <w:rPr>
          <w:rFonts w:eastAsia="TimesNewRoman"/>
          <w:lang w:val="en-US" w:eastAsia="ja-JP"/>
        </w:rPr>
        <w:t>— The Power Management subfield is reserved in all Management frames transmitted by a STA to an</w:t>
      </w:r>
      <w:r>
        <w:rPr>
          <w:rFonts w:eastAsia="TimesNewRoman"/>
          <w:lang w:val="en-US" w:eastAsia="ja-JP"/>
        </w:rPr>
        <w:t xml:space="preserve"> </w:t>
      </w:r>
      <w:r w:rsidRPr="00971946">
        <w:rPr>
          <w:rFonts w:eastAsia="TimesNewRoman"/>
          <w:lang w:val="en-US" w:eastAsia="ja-JP"/>
        </w:rPr>
        <w:t>AP or PCP with which it is not associated.</w:t>
      </w:r>
    </w:p>
    <w:p w14:paraId="4893BF96" w14:textId="77777777" w:rsidR="00971946" w:rsidRPr="00971946" w:rsidRDefault="00971946" w:rsidP="00971946">
      <w:pPr>
        <w:rPr>
          <w:sz w:val="28"/>
          <w:szCs w:val="24"/>
        </w:rPr>
      </w:pPr>
      <w:r w:rsidRPr="00971946">
        <w:rPr>
          <w:rFonts w:eastAsia="TimesNewRoman"/>
          <w:lang w:val="en-US" w:eastAsia="ja-JP"/>
        </w:rPr>
        <w:t>— The Power Management subfield is reserved in all frames transmitted by the AP.</w:t>
      </w:r>
    </w:p>
    <w:p w14:paraId="6729C2F1" w14:textId="77777777" w:rsidR="00971946" w:rsidRDefault="00971946" w:rsidP="00971946">
      <w:pPr>
        <w:rPr>
          <w:sz w:val="24"/>
          <w:szCs w:val="24"/>
        </w:rPr>
      </w:pPr>
      <w:r>
        <w:rPr>
          <w:sz w:val="24"/>
          <w:szCs w:val="24"/>
        </w:rPr>
        <w:t xml:space="preserve"> </w:t>
      </w:r>
    </w:p>
    <w:p w14:paraId="48289581" w14:textId="72E1AC1D" w:rsidR="00971946" w:rsidRPr="00971946" w:rsidRDefault="00971946" w:rsidP="00971946">
      <w:pPr>
        <w:rPr>
          <w:sz w:val="24"/>
          <w:szCs w:val="24"/>
          <w:u w:val="single"/>
        </w:rPr>
      </w:pPr>
      <w:r>
        <w:rPr>
          <w:sz w:val="24"/>
          <w:szCs w:val="24"/>
          <w:u w:val="single"/>
        </w:rPr>
        <w:t>Insert</w:t>
      </w:r>
    </w:p>
    <w:p w14:paraId="57FC5CAA" w14:textId="77777777" w:rsidR="00971946" w:rsidRDefault="00971946" w:rsidP="00971946">
      <w:pPr>
        <w:rPr>
          <w:sz w:val="24"/>
          <w:szCs w:val="24"/>
        </w:rPr>
      </w:pPr>
    </w:p>
    <w:p w14:paraId="2D40085A" w14:textId="53981B07" w:rsidR="00971946" w:rsidRDefault="00971946" w:rsidP="00780057">
      <w:pPr>
        <w:autoSpaceDE w:val="0"/>
        <w:autoSpaceDN w:val="0"/>
        <w:adjustRightInd w:val="0"/>
        <w:rPr>
          <w:rFonts w:eastAsia="TimesNewRoman"/>
          <w:szCs w:val="24"/>
          <w:lang w:val="en-US" w:eastAsia="ja-JP"/>
        </w:rPr>
      </w:pPr>
      <w:r w:rsidRPr="00780057">
        <w:rPr>
          <w:rFonts w:eastAsia="TimesNewRoman"/>
          <w:szCs w:val="24"/>
          <w:lang w:val="en-US" w:eastAsia="ja-JP"/>
        </w:rPr>
        <w:t>“The Power Management subfield usage is described in 11.2.3 (Power management in a non-DMG infrastructure network) and 11.2.7 (Power management in a PBSS and DMG infrastructure BSS).</w:t>
      </w:r>
      <w:r w:rsidR="00780057" w:rsidRPr="00780057">
        <w:rPr>
          <w:rFonts w:eastAsia="TimesNewRoman"/>
          <w:szCs w:val="24"/>
          <w:lang w:val="en-US" w:eastAsia="ja-JP"/>
        </w:rPr>
        <w:t xml:space="preserve">  The Power Management subfield </w:t>
      </w:r>
      <w:r w:rsidR="00780057">
        <w:rPr>
          <w:rFonts w:eastAsia="TimesNewRoman"/>
          <w:szCs w:val="24"/>
          <w:lang w:val="en-US" w:eastAsia="ja-JP"/>
        </w:rPr>
        <w:t xml:space="preserve">is </w:t>
      </w:r>
      <w:r w:rsidR="00780057" w:rsidRPr="00780057">
        <w:rPr>
          <w:rFonts w:eastAsia="TimesNewRoman"/>
          <w:szCs w:val="24"/>
          <w:lang w:val="en-US" w:eastAsia="ja-JP"/>
        </w:rPr>
        <w:t xml:space="preserve">set to 1 </w:t>
      </w:r>
      <w:r w:rsidR="00780057">
        <w:rPr>
          <w:rFonts w:eastAsia="TimesNewRoman"/>
          <w:szCs w:val="24"/>
          <w:lang w:val="en-US" w:eastAsia="ja-JP"/>
        </w:rPr>
        <w:t xml:space="preserve">to </w:t>
      </w:r>
      <w:r w:rsidR="00780057" w:rsidRPr="00780057">
        <w:rPr>
          <w:rFonts w:eastAsia="TimesNewRoman"/>
          <w:szCs w:val="24"/>
          <w:lang w:val="en-US" w:eastAsia="ja-JP"/>
        </w:rPr>
        <w:t xml:space="preserve">indicate that the STA will be in PS mode. The Power Management subfield </w:t>
      </w:r>
      <w:r w:rsidR="00780057">
        <w:rPr>
          <w:rFonts w:eastAsia="TimesNewRoman"/>
          <w:szCs w:val="24"/>
          <w:lang w:val="en-US" w:eastAsia="ja-JP"/>
        </w:rPr>
        <w:t xml:space="preserve">is </w:t>
      </w:r>
      <w:r w:rsidR="00780057" w:rsidRPr="00780057">
        <w:rPr>
          <w:rFonts w:eastAsia="TimesNewRoman"/>
          <w:szCs w:val="24"/>
          <w:lang w:val="en-US" w:eastAsia="ja-JP"/>
        </w:rPr>
        <w:t xml:space="preserve">set to 0 </w:t>
      </w:r>
      <w:r w:rsidR="00780057">
        <w:rPr>
          <w:rFonts w:eastAsia="TimesNewRoman"/>
          <w:szCs w:val="24"/>
          <w:lang w:val="en-US" w:eastAsia="ja-JP"/>
        </w:rPr>
        <w:t xml:space="preserve">to </w:t>
      </w:r>
      <w:r w:rsidR="00780057" w:rsidRPr="00780057">
        <w:rPr>
          <w:rFonts w:eastAsia="TimesNewRoman"/>
          <w:szCs w:val="24"/>
          <w:lang w:val="en-US" w:eastAsia="ja-JP"/>
        </w:rPr>
        <w:t>indicate that the STA will be in active mode.”</w:t>
      </w:r>
    </w:p>
    <w:p w14:paraId="0D51AAAC" w14:textId="6CB1791C" w:rsidR="00780057" w:rsidRDefault="00780057" w:rsidP="00780057">
      <w:pPr>
        <w:autoSpaceDE w:val="0"/>
        <w:autoSpaceDN w:val="0"/>
        <w:adjustRightInd w:val="0"/>
        <w:rPr>
          <w:rFonts w:eastAsia="TimesNewRoman"/>
          <w:szCs w:val="24"/>
          <w:lang w:val="en-US" w:eastAsia="ja-JP"/>
        </w:rPr>
      </w:pPr>
    </w:p>
    <w:p w14:paraId="09630893" w14:textId="77777777" w:rsidR="00780057" w:rsidRPr="00780057" w:rsidRDefault="00780057" w:rsidP="00780057">
      <w:pPr>
        <w:rPr>
          <w:b/>
          <w:sz w:val="24"/>
          <w:szCs w:val="24"/>
          <w:u w:val="single"/>
        </w:rPr>
      </w:pPr>
      <w:r w:rsidRPr="00780057">
        <w:rPr>
          <w:b/>
          <w:sz w:val="24"/>
          <w:szCs w:val="24"/>
          <w:u w:val="single"/>
        </w:rPr>
        <w:t xml:space="preserve">OR  Proposal C </w:t>
      </w:r>
    </w:p>
    <w:p w14:paraId="1FE59E92" w14:textId="6EA6A05D" w:rsidR="00780057" w:rsidRPr="00971946" w:rsidRDefault="00780057" w:rsidP="00780057">
      <w:pPr>
        <w:rPr>
          <w:sz w:val="24"/>
          <w:szCs w:val="24"/>
          <w:u w:val="single"/>
        </w:rPr>
      </w:pPr>
      <w:r>
        <w:rPr>
          <w:sz w:val="24"/>
          <w:szCs w:val="24"/>
          <w:u w:val="single"/>
        </w:rPr>
        <w:t>Insert</w:t>
      </w:r>
    </w:p>
    <w:p w14:paraId="4700FDF6" w14:textId="77777777" w:rsidR="00780057" w:rsidRDefault="00780057" w:rsidP="00780057">
      <w:pPr>
        <w:rPr>
          <w:sz w:val="24"/>
          <w:szCs w:val="24"/>
        </w:rPr>
      </w:pPr>
    </w:p>
    <w:p w14:paraId="0C1BA5AE" w14:textId="3DBA6A40" w:rsidR="00780057" w:rsidRPr="00780057" w:rsidRDefault="00780057" w:rsidP="00780057">
      <w:pPr>
        <w:autoSpaceDE w:val="0"/>
        <w:autoSpaceDN w:val="0"/>
        <w:adjustRightInd w:val="0"/>
        <w:rPr>
          <w:szCs w:val="24"/>
        </w:rPr>
      </w:pPr>
      <w:r w:rsidRPr="00780057">
        <w:rPr>
          <w:rFonts w:eastAsia="TimesNewRoman"/>
          <w:szCs w:val="24"/>
          <w:lang w:val="en-US" w:eastAsia="ja-JP"/>
        </w:rPr>
        <w:t xml:space="preserve">“The Power Management subfield usage is described in 11.2.3 (Power management in a non-DMG infrastructure network) and 11.2.7 (Power management in a PBSS and DMG infrastructure BSS).  The Power Management subfield </w:t>
      </w:r>
      <w:r>
        <w:rPr>
          <w:rFonts w:eastAsia="TimesNewRoman"/>
          <w:szCs w:val="24"/>
          <w:lang w:val="en-US" w:eastAsia="ja-JP"/>
        </w:rPr>
        <w:t xml:space="preserve">is </w:t>
      </w:r>
      <w:r w:rsidRPr="00780057">
        <w:rPr>
          <w:rFonts w:eastAsia="TimesNewRoman"/>
          <w:szCs w:val="24"/>
          <w:lang w:val="en-US" w:eastAsia="ja-JP"/>
        </w:rPr>
        <w:t xml:space="preserve">set to 1 </w:t>
      </w:r>
      <w:r>
        <w:rPr>
          <w:rFonts w:eastAsia="TimesNewRoman"/>
          <w:szCs w:val="24"/>
          <w:lang w:val="en-US" w:eastAsia="ja-JP"/>
        </w:rPr>
        <w:t xml:space="preserve">to </w:t>
      </w:r>
      <w:r w:rsidRPr="00780057">
        <w:rPr>
          <w:rFonts w:eastAsia="TimesNewRoman"/>
          <w:szCs w:val="24"/>
          <w:lang w:val="en-US" w:eastAsia="ja-JP"/>
        </w:rPr>
        <w:t xml:space="preserve">indicate that the STA will be in PS mode. The Power Management subfield </w:t>
      </w:r>
      <w:r>
        <w:rPr>
          <w:rFonts w:eastAsia="TimesNewRoman"/>
          <w:szCs w:val="24"/>
          <w:lang w:val="en-US" w:eastAsia="ja-JP"/>
        </w:rPr>
        <w:t xml:space="preserve">is </w:t>
      </w:r>
      <w:r w:rsidRPr="00780057">
        <w:rPr>
          <w:rFonts w:eastAsia="TimesNewRoman"/>
          <w:szCs w:val="24"/>
          <w:lang w:val="en-US" w:eastAsia="ja-JP"/>
        </w:rPr>
        <w:t xml:space="preserve">set to 0 </w:t>
      </w:r>
      <w:r>
        <w:rPr>
          <w:rFonts w:eastAsia="TimesNewRoman"/>
          <w:szCs w:val="24"/>
          <w:lang w:val="en-US" w:eastAsia="ja-JP"/>
        </w:rPr>
        <w:t xml:space="preserve">to </w:t>
      </w:r>
      <w:r w:rsidRPr="00780057">
        <w:rPr>
          <w:rFonts w:eastAsia="TimesNewRoman"/>
          <w:szCs w:val="24"/>
          <w:lang w:val="en-US" w:eastAsia="ja-JP"/>
        </w:rPr>
        <w:t>indicate that the STA will be in active mode.</w:t>
      </w:r>
      <w:r>
        <w:rPr>
          <w:rFonts w:eastAsia="TimesNewRoman"/>
          <w:szCs w:val="24"/>
          <w:lang w:val="en-US" w:eastAsia="ja-JP"/>
        </w:rPr>
        <w:t xml:space="preserve">  </w:t>
      </w:r>
      <w:r w:rsidRPr="00971946">
        <w:rPr>
          <w:rFonts w:eastAsia="TimesNewRoman"/>
          <w:lang w:val="en-US" w:eastAsia="ja-JP"/>
        </w:rPr>
        <w:t xml:space="preserve">The Power Management subfield is reserved in all Management </w:t>
      </w:r>
      <w:r w:rsidRPr="00971946">
        <w:rPr>
          <w:rFonts w:eastAsia="TimesNewRoman"/>
          <w:lang w:val="en-US" w:eastAsia="ja-JP"/>
        </w:rPr>
        <w:lastRenderedPageBreak/>
        <w:t>frames transmitted by a STA to an</w:t>
      </w:r>
      <w:r>
        <w:rPr>
          <w:rFonts w:eastAsia="TimesNewRoman"/>
          <w:lang w:val="en-US" w:eastAsia="ja-JP"/>
        </w:rPr>
        <w:t xml:space="preserve"> </w:t>
      </w:r>
      <w:r w:rsidRPr="00971946">
        <w:rPr>
          <w:rFonts w:eastAsia="TimesNewRoman"/>
          <w:lang w:val="en-US" w:eastAsia="ja-JP"/>
        </w:rPr>
        <w:t xml:space="preserve">AP or PCP </w:t>
      </w:r>
      <w:r>
        <w:rPr>
          <w:rFonts w:eastAsia="TimesNewRoman"/>
          <w:lang w:val="en-US" w:eastAsia="ja-JP"/>
        </w:rPr>
        <w:t xml:space="preserve">with which it is not associated and </w:t>
      </w:r>
      <w:r w:rsidRPr="00971946">
        <w:rPr>
          <w:rFonts w:eastAsia="TimesNewRoman"/>
          <w:lang w:val="en-US" w:eastAsia="ja-JP"/>
        </w:rPr>
        <w:t>all frames transmitted by the AP</w:t>
      </w:r>
      <w:r w:rsidRPr="00780057">
        <w:rPr>
          <w:rFonts w:eastAsia="TimesNewRoman"/>
          <w:szCs w:val="24"/>
          <w:lang w:val="en-US" w:eastAsia="ja-JP"/>
        </w:rPr>
        <w:t>”</w:t>
      </w:r>
    </w:p>
    <w:p w14:paraId="6F8008BA" w14:textId="2A64D51D" w:rsidR="00780057" w:rsidRDefault="00780057" w:rsidP="00780057">
      <w:pPr>
        <w:autoSpaceDE w:val="0"/>
        <w:autoSpaceDN w:val="0"/>
        <w:adjustRightInd w:val="0"/>
        <w:rPr>
          <w:szCs w:val="24"/>
        </w:rPr>
      </w:pPr>
    </w:p>
    <w:p w14:paraId="00510291" w14:textId="3503DE94" w:rsidR="00780057" w:rsidRPr="00780057" w:rsidRDefault="00780057" w:rsidP="00780057">
      <w:pPr>
        <w:autoSpaceDE w:val="0"/>
        <w:autoSpaceDN w:val="0"/>
        <w:adjustRightInd w:val="0"/>
        <w:rPr>
          <w:szCs w:val="24"/>
        </w:rPr>
      </w:pPr>
    </w:p>
    <w:sectPr w:rsidR="00780057" w:rsidRPr="00780057" w:rsidSect="009E579C">
      <w:headerReference w:type="even" r:id="rId8"/>
      <w:headerReference w:type="default" r:id="rId9"/>
      <w:footerReference w:type="even" r:id="rId10"/>
      <w:footerReference w:type="default" r:id="rId11"/>
      <w:headerReference w:type="first" r:id="rId12"/>
      <w:footerReference w:type="first" r:id="rId13"/>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4CC2F" w14:textId="77777777" w:rsidR="00FA7B05" w:rsidRDefault="00FA7B05">
      <w:r>
        <w:separator/>
      </w:r>
    </w:p>
  </w:endnote>
  <w:endnote w:type="continuationSeparator" w:id="0">
    <w:p w14:paraId="5DA700AF" w14:textId="77777777" w:rsidR="00FA7B05" w:rsidRDefault="00FA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08AB4" w14:textId="77777777" w:rsidR="00780057" w:rsidRDefault="0078005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74D422FC" w:rsidR="002767C1" w:rsidRDefault="00FA7B05">
    <w:pPr>
      <w:pStyle w:val="Footer"/>
      <w:tabs>
        <w:tab w:val="clear" w:pos="6480"/>
        <w:tab w:val="center" w:pos="4680"/>
        <w:tab w:val="right" w:pos="9360"/>
      </w:tabs>
    </w:pPr>
    <w:r>
      <w:fldChar w:fldCharType="begin"/>
    </w:r>
    <w:r>
      <w:instrText xml:space="preserve"> SUBJECT  \* MERGEFORMAT </w:instrText>
    </w:r>
    <w:r>
      <w:fldChar w:fldCharType="separate"/>
    </w:r>
    <w:r w:rsidR="002767C1">
      <w:t>Submission</w:t>
    </w:r>
    <w:r>
      <w:fldChar w:fldCharType="end"/>
    </w:r>
    <w:r w:rsidR="002767C1">
      <w:tab/>
      <w:t xml:space="preserve">page </w:t>
    </w:r>
    <w:r w:rsidR="002767C1">
      <w:fldChar w:fldCharType="begin"/>
    </w:r>
    <w:r w:rsidR="002767C1">
      <w:instrText xml:space="preserve">page </w:instrText>
    </w:r>
    <w:r w:rsidR="002767C1">
      <w:fldChar w:fldCharType="separate"/>
    </w:r>
    <w:r w:rsidR="00932DC3">
      <w:rPr>
        <w:noProof/>
      </w:rPr>
      <w:t>1</w:t>
    </w:r>
    <w:r w:rsidR="002767C1">
      <w:rPr>
        <w:noProof/>
      </w:rPr>
      <w:fldChar w:fldCharType="end"/>
    </w:r>
    <w:r w:rsidR="002767C1">
      <w:tab/>
    </w:r>
    <w:r>
      <w:fldChar w:fldCharType="begin"/>
    </w:r>
    <w:r>
      <w:instrText xml:space="preserve"> COMMENTS  \* MERGEFORMAT </w:instrText>
    </w:r>
    <w:r>
      <w:fldChar w:fldCharType="separate"/>
    </w:r>
    <w:r w:rsidR="002767C1">
      <w:t>Graham SMIT</w:t>
    </w:r>
    <w:r>
      <w:fldChar w:fldCharType="end"/>
    </w:r>
    <w:r w:rsidR="002767C1">
      <w:t>H (SRT Wireless)</w:t>
    </w:r>
  </w:p>
  <w:p w14:paraId="5B8624E2" w14:textId="77777777" w:rsidR="002767C1" w:rsidRDefault="002767C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3EFA6" w14:textId="77777777" w:rsidR="00780057" w:rsidRDefault="007800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872C8" w14:textId="77777777" w:rsidR="00FA7B05" w:rsidRDefault="00FA7B05">
      <w:r>
        <w:separator/>
      </w:r>
    </w:p>
  </w:footnote>
  <w:footnote w:type="continuationSeparator" w:id="0">
    <w:p w14:paraId="62DF33C6" w14:textId="77777777" w:rsidR="00FA7B05" w:rsidRDefault="00FA7B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1B5F6" w14:textId="77777777" w:rsidR="00780057" w:rsidRDefault="0078005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9937" w14:textId="2DEC410E" w:rsidR="002767C1" w:rsidRDefault="00673292" w:rsidP="00E06DE9">
    <w:pPr>
      <w:pStyle w:val="Header"/>
      <w:tabs>
        <w:tab w:val="clear" w:pos="6480"/>
        <w:tab w:val="center" w:pos="4680"/>
        <w:tab w:val="right" w:pos="9360"/>
      </w:tabs>
    </w:pPr>
    <w:r>
      <w:t>March</w:t>
    </w:r>
    <w:r w:rsidR="002767C1">
      <w:t xml:space="preserve"> 2022</w:t>
    </w:r>
    <w:r w:rsidR="002767C1">
      <w:tab/>
    </w:r>
    <w:r w:rsidR="002767C1">
      <w:tab/>
      <w:t xml:space="preserve">   </w:t>
    </w:r>
    <w:fldSimple w:instr=" TITLE  \* MERGEFORMAT ">
      <w:r w:rsidR="002767C1">
        <w:t>doc.: IEEE 802.11-22/</w:t>
      </w:r>
    </w:fldSimple>
    <w:r w:rsidR="002767C1">
      <w:t>0</w:t>
    </w:r>
    <w:r w:rsidR="00145195">
      <w:t>5</w:t>
    </w:r>
    <w:r w:rsidR="00932DC3">
      <w:t>1</w:t>
    </w:r>
    <w:r w:rsidR="00145195">
      <w:t>9</w:t>
    </w:r>
    <w:r>
      <w:t>r</w:t>
    </w:r>
    <w:r w:rsidR="00932DC3">
      <w:t>3</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3E013" w14:textId="77777777" w:rsidR="00780057" w:rsidRDefault="007800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6A59"/>
    <w:multiLevelType w:val="hybridMultilevel"/>
    <w:tmpl w:val="64E62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55B96"/>
    <w:multiLevelType w:val="hybridMultilevel"/>
    <w:tmpl w:val="2D9E7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D9E76BC"/>
    <w:multiLevelType w:val="hybridMultilevel"/>
    <w:tmpl w:val="D1925C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1E6B26"/>
    <w:multiLevelType w:val="hybridMultilevel"/>
    <w:tmpl w:val="8D4290DC"/>
    <w:lvl w:ilvl="0" w:tplc="9C666EC2">
      <w:start w:val="9"/>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8"/>
  </w:num>
  <w:num w:numId="5">
    <w:abstractNumId w:val="11"/>
  </w:num>
  <w:num w:numId="6">
    <w:abstractNumId w:val="5"/>
  </w:num>
  <w:num w:numId="7">
    <w:abstractNumId w:val="4"/>
  </w:num>
  <w:num w:numId="8">
    <w:abstractNumId w:val="0"/>
  </w:num>
  <w:num w:numId="9">
    <w:abstractNumId w:val="2"/>
  </w:num>
  <w:num w:numId="10">
    <w:abstractNumId w:val="9"/>
  </w:num>
  <w:num w:numId="11">
    <w:abstractNumId w:val="6"/>
  </w:num>
  <w:num w:numId="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5E08"/>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DCE"/>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0F3"/>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DF1"/>
    <w:rsid w:val="00105EB4"/>
    <w:rsid w:val="00105F3F"/>
    <w:rsid w:val="00106140"/>
    <w:rsid w:val="0010636D"/>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81C"/>
    <w:rsid w:val="00121C94"/>
    <w:rsid w:val="0012214E"/>
    <w:rsid w:val="0012217B"/>
    <w:rsid w:val="00122558"/>
    <w:rsid w:val="00122B6B"/>
    <w:rsid w:val="001234C2"/>
    <w:rsid w:val="00124928"/>
    <w:rsid w:val="00124940"/>
    <w:rsid w:val="0012576A"/>
    <w:rsid w:val="001258FE"/>
    <w:rsid w:val="0012607C"/>
    <w:rsid w:val="00126686"/>
    <w:rsid w:val="001266ED"/>
    <w:rsid w:val="00127BC6"/>
    <w:rsid w:val="00127FA0"/>
    <w:rsid w:val="00130070"/>
    <w:rsid w:val="00131291"/>
    <w:rsid w:val="00132B36"/>
    <w:rsid w:val="00132F42"/>
    <w:rsid w:val="0013421A"/>
    <w:rsid w:val="001347A8"/>
    <w:rsid w:val="001367FF"/>
    <w:rsid w:val="00136A52"/>
    <w:rsid w:val="00140570"/>
    <w:rsid w:val="00140851"/>
    <w:rsid w:val="001425C5"/>
    <w:rsid w:val="00142AAA"/>
    <w:rsid w:val="00142EB9"/>
    <w:rsid w:val="00143BAA"/>
    <w:rsid w:val="0014485F"/>
    <w:rsid w:val="00145195"/>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3003"/>
    <w:rsid w:val="00163CC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A050C"/>
    <w:rsid w:val="001A0CA3"/>
    <w:rsid w:val="001A0FF2"/>
    <w:rsid w:val="001A1B98"/>
    <w:rsid w:val="001A1D16"/>
    <w:rsid w:val="001A6081"/>
    <w:rsid w:val="001A64AD"/>
    <w:rsid w:val="001A6E00"/>
    <w:rsid w:val="001A6F4E"/>
    <w:rsid w:val="001A7365"/>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08A"/>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B05"/>
    <w:rsid w:val="00240372"/>
    <w:rsid w:val="00242DC7"/>
    <w:rsid w:val="00243F76"/>
    <w:rsid w:val="00246DD7"/>
    <w:rsid w:val="00247ECB"/>
    <w:rsid w:val="00253704"/>
    <w:rsid w:val="00254702"/>
    <w:rsid w:val="0025523E"/>
    <w:rsid w:val="0025536B"/>
    <w:rsid w:val="002558FF"/>
    <w:rsid w:val="00256A3C"/>
    <w:rsid w:val="00256B72"/>
    <w:rsid w:val="00256E50"/>
    <w:rsid w:val="00257CD4"/>
    <w:rsid w:val="00260223"/>
    <w:rsid w:val="00261EB2"/>
    <w:rsid w:val="002623BC"/>
    <w:rsid w:val="002627B5"/>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7C1"/>
    <w:rsid w:val="00276B58"/>
    <w:rsid w:val="00276D9C"/>
    <w:rsid w:val="002771BD"/>
    <w:rsid w:val="002775D0"/>
    <w:rsid w:val="00277834"/>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3058"/>
    <w:rsid w:val="002A3B73"/>
    <w:rsid w:val="002A3D66"/>
    <w:rsid w:val="002A3F23"/>
    <w:rsid w:val="002A4AF5"/>
    <w:rsid w:val="002A5845"/>
    <w:rsid w:val="002A64AB"/>
    <w:rsid w:val="002A690B"/>
    <w:rsid w:val="002A778A"/>
    <w:rsid w:val="002B1C16"/>
    <w:rsid w:val="002B23DB"/>
    <w:rsid w:val="002B2F4D"/>
    <w:rsid w:val="002B46B1"/>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58E0"/>
    <w:rsid w:val="002D5F00"/>
    <w:rsid w:val="002D6819"/>
    <w:rsid w:val="002D71F3"/>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051"/>
    <w:rsid w:val="002F669A"/>
    <w:rsid w:val="002F6CBA"/>
    <w:rsid w:val="002F783F"/>
    <w:rsid w:val="002F7A17"/>
    <w:rsid w:val="00301DB8"/>
    <w:rsid w:val="0030322B"/>
    <w:rsid w:val="00303CFE"/>
    <w:rsid w:val="00303D38"/>
    <w:rsid w:val="0030417D"/>
    <w:rsid w:val="00304F04"/>
    <w:rsid w:val="00305344"/>
    <w:rsid w:val="00310B02"/>
    <w:rsid w:val="00311DA6"/>
    <w:rsid w:val="00312CD6"/>
    <w:rsid w:val="00312FE9"/>
    <w:rsid w:val="00313998"/>
    <w:rsid w:val="00313DC6"/>
    <w:rsid w:val="00313FFB"/>
    <w:rsid w:val="00314018"/>
    <w:rsid w:val="00314918"/>
    <w:rsid w:val="0031542D"/>
    <w:rsid w:val="003159D9"/>
    <w:rsid w:val="00320BA5"/>
    <w:rsid w:val="00320C7F"/>
    <w:rsid w:val="00321535"/>
    <w:rsid w:val="0032198E"/>
    <w:rsid w:val="0032432D"/>
    <w:rsid w:val="00325959"/>
    <w:rsid w:val="00325B21"/>
    <w:rsid w:val="00325D8E"/>
    <w:rsid w:val="00326844"/>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0C96"/>
    <w:rsid w:val="00382211"/>
    <w:rsid w:val="00382603"/>
    <w:rsid w:val="00382B03"/>
    <w:rsid w:val="00382F77"/>
    <w:rsid w:val="00383525"/>
    <w:rsid w:val="0038355C"/>
    <w:rsid w:val="00385314"/>
    <w:rsid w:val="00385B13"/>
    <w:rsid w:val="00385BD3"/>
    <w:rsid w:val="003873F3"/>
    <w:rsid w:val="00392802"/>
    <w:rsid w:val="00393182"/>
    <w:rsid w:val="00393367"/>
    <w:rsid w:val="003933C7"/>
    <w:rsid w:val="00393D3B"/>
    <w:rsid w:val="00393F3A"/>
    <w:rsid w:val="00394949"/>
    <w:rsid w:val="00394C6C"/>
    <w:rsid w:val="00395876"/>
    <w:rsid w:val="003979D0"/>
    <w:rsid w:val="003A0B8B"/>
    <w:rsid w:val="003A15E1"/>
    <w:rsid w:val="003A1FC7"/>
    <w:rsid w:val="003A283A"/>
    <w:rsid w:val="003A2A87"/>
    <w:rsid w:val="003A2CAF"/>
    <w:rsid w:val="003A39C0"/>
    <w:rsid w:val="003A3EF9"/>
    <w:rsid w:val="003A54C3"/>
    <w:rsid w:val="003A5854"/>
    <w:rsid w:val="003A62F2"/>
    <w:rsid w:val="003A777D"/>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4F6C"/>
    <w:rsid w:val="003C5230"/>
    <w:rsid w:val="003C62D3"/>
    <w:rsid w:val="003C63B2"/>
    <w:rsid w:val="003C7F5B"/>
    <w:rsid w:val="003D472D"/>
    <w:rsid w:val="003D47D5"/>
    <w:rsid w:val="003D5563"/>
    <w:rsid w:val="003D5CFD"/>
    <w:rsid w:val="003D6689"/>
    <w:rsid w:val="003D6C6C"/>
    <w:rsid w:val="003D70BF"/>
    <w:rsid w:val="003D74D3"/>
    <w:rsid w:val="003D75CA"/>
    <w:rsid w:val="003E02CE"/>
    <w:rsid w:val="003E0EAE"/>
    <w:rsid w:val="003E16DE"/>
    <w:rsid w:val="003E1D9A"/>
    <w:rsid w:val="003E20CC"/>
    <w:rsid w:val="003E259D"/>
    <w:rsid w:val="003E3194"/>
    <w:rsid w:val="003E43B9"/>
    <w:rsid w:val="003E5041"/>
    <w:rsid w:val="003E555F"/>
    <w:rsid w:val="003E5D07"/>
    <w:rsid w:val="003E692C"/>
    <w:rsid w:val="003E7CD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AA0"/>
    <w:rsid w:val="00414BA2"/>
    <w:rsid w:val="004156FF"/>
    <w:rsid w:val="00415E63"/>
    <w:rsid w:val="00416A8E"/>
    <w:rsid w:val="00417B6E"/>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88A"/>
    <w:rsid w:val="00433924"/>
    <w:rsid w:val="00435046"/>
    <w:rsid w:val="00435DAD"/>
    <w:rsid w:val="00436694"/>
    <w:rsid w:val="00442037"/>
    <w:rsid w:val="0044237B"/>
    <w:rsid w:val="004445B7"/>
    <w:rsid w:val="004448F8"/>
    <w:rsid w:val="00444E47"/>
    <w:rsid w:val="00446545"/>
    <w:rsid w:val="004470FA"/>
    <w:rsid w:val="004474AA"/>
    <w:rsid w:val="00447739"/>
    <w:rsid w:val="004508D6"/>
    <w:rsid w:val="00450F4F"/>
    <w:rsid w:val="004511C7"/>
    <w:rsid w:val="004517B5"/>
    <w:rsid w:val="004542DC"/>
    <w:rsid w:val="00454400"/>
    <w:rsid w:val="004545C0"/>
    <w:rsid w:val="00455117"/>
    <w:rsid w:val="0045617D"/>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5F68"/>
    <w:rsid w:val="0047682B"/>
    <w:rsid w:val="00477843"/>
    <w:rsid w:val="00480551"/>
    <w:rsid w:val="0048074F"/>
    <w:rsid w:val="00480D8B"/>
    <w:rsid w:val="00481871"/>
    <w:rsid w:val="00481A27"/>
    <w:rsid w:val="00481EB5"/>
    <w:rsid w:val="00482476"/>
    <w:rsid w:val="00483ECF"/>
    <w:rsid w:val="00484DA7"/>
    <w:rsid w:val="00485186"/>
    <w:rsid w:val="004863B9"/>
    <w:rsid w:val="0048755B"/>
    <w:rsid w:val="0048783B"/>
    <w:rsid w:val="0049287F"/>
    <w:rsid w:val="00492B36"/>
    <w:rsid w:val="00493C21"/>
    <w:rsid w:val="004940D6"/>
    <w:rsid w:val="00494F31"/>
    <w:rsid w:val="00495646"/>
    <w:rsid w:val="00495655"/>
    <w:rsid w:val="004956B1"/>
    <w:rsid w:val="00495CAC"/>
    <w:rsid w:val="00496291"/>
    <w:rsid w:val="00497D25"/>
    <w:rsid w:val="004A0639"/>
    <w:rsid w:val="004A0FFC"/>
    <w:rsid w:val="004A1BB5"/>
    <w:rsid w:val="004A29FD"/>
    <w:rsid w:val="004A33F0"/>
    <w:rsid w:val="004A359C"/>
    <w:rsid w:val="004A3742"/>
    <w:rsid w:val="004A3A67"/>
    <w:rsid w:val="004A46C1"/>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28B"/>
    <w:rsid w:val="004C1A63"/>
    <w:rsid w:val="004C2773"/>
    <w:rsid w:val="004C286F"/>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76F9"/>
    <w:rsid w:val="004F7908"/>
    <w:rsid w:val="00500859"/>
    <w:rsid w:val="005020F9"/>
    <w:rsid w:val="00503AED"/>
    <w:rsid w:val="0050422D"/>
    <w:rsid w:val="005049C3"/>
    <w:rsid w:val="0050594E"/>
    <w:rsid w:val="00507CE8"/>
    <w:rsid w:val="00510FC4"/>
    <w:rsid w:val="00511C50"/>
    <w:rsid w:val="00512470"/>
    <w:rsid w:val="0051352E"/>
    <w:rsid w:val="0051424C"/>
    <w:rsid w:val="005167E5"/>
    <w:rsid w:val="00516A3C"/>
    <w:rsid w:val="00516A9F"/>
    <w:rsid w:val="00517FB7"/>
    <w:rsid w:val="005216B6"/>
    <w:rsid w:val="00522288"/>
    <w:rsid w:val="005235A0"/>
    <w:rsid w:val="0052397A"/>
    <w:rsid w:val="00524CDB"/>
    <w:rsid w:val="00525AA3"/>
    <w:rsid w:val="005260F9"/>
    <w:rsid w:val="005270D9"/>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6E99"/>
    <w:rsid w:val="0054733E"/>
    <w:rsid w:val="00547405"/>
    <w:rsid w:val="00547686"/>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11FD"/>
    <w:rsid w:val="00583AA3"/>
    <w:rsid w:val="00583C4B"/>
    <w:rsid w:val="00584000"/>
    <w:rsid w:val="005842ED"/>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402B"/>
    <w:rsid w:val="005A604F"/>
    <w:rsid w:val="005A7380"/>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2F46"/>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851"/>
    <w:rsid w:val="00625AFD"/>
    <w:rsid w:val="006269AA"/>
    <w:rsid w:val="0062700C"/>
    <w:rsid w:val="00630A40"/>
    <w:rsid w:val="006320F2"/>
    <w:rsid w:val="006324AD"/>
    <w:rsid w:val="00633A73"/>
    <w:rsid w:val="0063689B"/>
    <w:rsid w:val="00636FD4"/>
    <w:rsid w:val="006374B3"/>
    <w:rsid w:val="00641255"/>
    <w:rsid w:val="00642E40"/>
    <w:rsid w:val="006434C4"/>
    <w:rsid w:val="006435A1"/>
    <w:rsid w:val="00644CAD"/>
    <w:rsid w:val="006460C6"/>
    <w:rsid w:val="00646151"/>
    <w:rsid w:val="006478DE"/>
    <w:rsid w:val="00647C0F"/>
    <w:rsid w:val="0065099A"/>
    <w:rsid w:val="00650DC1"/>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3292"/>
    <w:rsid w:val="00674F4E"/>
    <w:rsid w:val="006751FF"/>
    <w:rsid w:val="0067586E"/>
    <w:rsid w:val="00677609"/>
    <w:rsid w:val="00680F5E"/>
    <w:rsid w:val="006832AA"/>
    <w:rsid w:val="00684955"/>
    <w:rsid w:val="00684E99"/>
    <w:rsid w:val="00684EC0"/>
    <w:rsid w:val="00685291"/>
    <w:rsid w:val="00685AA8"/>
    <w:rsid w:val="00686695"/>
    <w:rsid w:val="00686BDA"/>
    <w:rsid w:val="00690A23"/>
    <w:rsid w:val="006918DA"/>
    <w:rsid w:val="00692C5F"/>
    <w:rsid w:val="0069411F"/>
    <w:rsid w:val="00694B88"/>
    <w:rsid w:val="00696254"/>
    <w:rsid w:val="006974D8"/>
    <w:rsid w:val="0069798C"/>
    <w:rsid w:val="006A12B0"/>
    <w:rsid w:val="006A1429"/>
    <w:rsid w:val="006A1F02"/>
    <w:rsid w:val="006A1F15"/>
    <w:rsid w:val="006A26F9"/>
    <w:rsid w:val="006A3907"/>
    <w:rsid w:val="006A5204"/>
    <w:rsid w:val="006A54A7"/>
    <w:rsid w:val="006A5D1A"/>
    <w:rsid w:val="006A60AF"/>
    <w:rsid w:val="006A684D"/>
    <w:rsid w:val="006A6EC0"/>
    <w:rsid w:val="006A71B8"/>
    <w:rsid w:val="006B038F"/>
    <w:rsid w:val="006B1CA5"/>
    <w:rsid w:val="006B3FC4"/>
    <w:rsid w:val="006B4F4C"/>
    <w:rsid w:val="006B536C"/>
    <w:rsid w:val="006B55A2"/>
    <w:rsid w:val="006B643A"/>
    <w:rsid w:val="006B7CEA"/>
    <w:rsid w:val="006B7EC3"/>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6FC7"/>
    <w:rsid w:val="006D7F09"/>
    <w:rsid w:val="006E02B5"/>
    <w:rsid w:val="006E07A3"/>
    <w:rsid w:val="006E0892"/>
    <w:rsid w:val="006E145F"/>
    <w:rsid w:val="006E3339"/>
    <w:rsid w:val="006E33BE"/>
    <w:rsid w:val="006E395E"/>
    <w:rsid w:val="006E422B"/>
    <w:rsid w:val="006E529B"/>
    <w:rsid w:val="006E5596"/>
    <w:rsid w:val="006E719F"/>
    <w:rsid w:val="006F0F82"/>
    <w:rsid w:val="006F2822"/>
    <w:rsid w:val="006F2BDE"/>
    <w:rsid w:val="006F3091"/>
    <w:rsid w:val="006F4BEC"/>
    <w:rsid w:val="006F4E55"/>
    <w:rsid w:val="006F77E6"/>
    <w:rsid w:val="006F7B7A"/>
    <w:rsid w:val="00701649"/>
    <w:rsid w:val="007016CF"/>
    <w:rsid w:val="00701E0C"/>
    <w:rsid w:val="00701E88"/>
    <w:rsid w:val="0070202C"/>
    <w:rsid w:val="00703002"/>
    <w:rsid w:val="00703B5F"/>
    <w:rsid w:val="00704B57"/>
    <w:rsid w:val="00705F3C"/>
    <w:rsid w:val="00710263"/>
    <w:rsid w:val="0071026D"/>
    <w:rsid w:val="0071159D"/>
    <w:rsid w:val="007116E9"/>
    <w:rsid w:val="007117E5"/>
    <w:rsid w:val="007127E2"/>
    <w:rsid w:val="00713D0D"/>
    <w:rsid w:val="0071407C"/>
    <w:rsid w:val="00715227"/>
    <w:rsid w:val="00715623"/>
    <w:rsid w:val="00715878"/>
    <w:rsid w:val="00715FE6"/>
    <w:rsid w:val="007164E1"/>
    <w:rsid w:val="0071661E"/>
    <w:rsid w:val="00717D24"/>
    <w:rsid w:val="00720830"/>
    <w:rsid w:val="00722252"/>
    <w:rsid w:val="00722282"/>
    <w:rsid w:val="0072479F"/>
    <w:rsid w:val="00724AD3"/>
    <w:rsid w:val="00724FA8"/>
    <w:rsid w:val="0072537E"/>
    <w:rsid w:val="00725A5C"/>
    <w:rsid w:val="00725D0D"/>
    <w:rsid w:val="007275EA"/>
    <w:rsid w:val="00727815"/>
    <w:rsid w:val="00727884"/>
    <w:rsid w:val="007300A1"/>
    <w:rsid w:val="0073049C"/>
    <w:rsid w:val="007306AC"/>
    <w:rsid w:val="007308BB"/>
    <w:rsid w:val="00734781"/>
    <w:rsid w:val="0073520D"/>
    <w:rsid w:val="007360E7"/>
    <w:rsid w:val="00737E22"/>
    <w:rsid w:val="00737E2B"/>
    <w:rsid w:val="0074016E"/>
    <w:rsid w:val="00740489"/>
    <w:rsid w:val="00742504"/>
    <w:rsid w:val="00743157"/>
    <w:rsid w:val="00743E42"/>
    <w:rsid w:val="007441F1"/>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779"/>
    <w:rsid w:val="00755E6E"/>
    <w:rsid w:val="00756219"/>
    <w:rsid w:val="00756227"/>
    <w:rsid w:val="00756DE5"/>
    <w:rsid w:val="007571A0"/>
    <w:rsid w:val="00757BB7"/>
    <w:rsid w:val="00757F28"/>
    <w:rsid w:val="00760E1E"/>
    <w:rsid w:val="0076175F"/>
    <w:rsid w:val="00763CDF"/>
    <w:rsid w:val="00764AAF"/>
    <w:rsid w:val="00765567"/>
    <w:rsid w:val="00766435"/>
    <w:rsid w:val="0076674F"/>
    <w:rsid w:val="00766C52"/>
    <w:rsid w:val="007676D9"/>
    <w:rsid w:val="00770572"/>
    <w:rsid w:val="007706BA"/>
    <w:rsid w:val="0077080A"/>
    <w:rsid w:val="00771FA6"/>
    <w:rsid w:val="00772206"/>
    <w:rsid w:val="00773933"/>
    <w:rsid w:val="00773F5E"/>
    <w:rsid w:val="00774172"/>
    <w:rsid w:val="00774631"/>
    <w:rsid w:val="007767F2"/>
    <w:rsid w:val="0077703A"/>
    <w:rsid w:val="00780057"/>
    <w:rsid w:val="007801FC"/>
    <w:rsid w:val="00781FE5"/>
    <w:rsid w:val="0078215A"/>
    <w:rsid w:val="00784B30"/>
    <w:rsid w:val="00784C52"/>
    <w:rsid w:val="0078506D"/>
    <w:rsid w:val="00785281"/>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5BD0"/>
    <w:rsid w:val="007A6701"/>
    <w:rsid w:val="007A686F"/>
    <w:rsid w:val="007A69E5"/>
    <w:rsid w:val="007A713C"/>
    <w:rsid w:val="007A7AF2"/>
    <w:rsid w:val="007B0F1A"/>
    <w:rsid w:val="007B1713"/>
    <w:rsid w:val="007B256C"/>
    <w:rsid w:val="007B304F"/>
    <w:rsid w:val="007B4C46"/>
    <w:rsid w:val="007B5C46"/>
    <w:rsid w:val="007B6CCA"/>
    <w:rsid w:val="007B7AAC"/>
    <w:rsid w:val="007C1BF1"/>
    <w:rsid w:val="007C2845"/>
    <w:rsid w:val="007C2CEF"/>
    <w:rsid w:val="007C34ED"/>
    <w:rsid w:val="007C386C"/>
    <w:rsid w:val="007C523C"/>
    <w:rsid w:val="007C561B"/>
    <w:rsid w:val="007C5878"/>
    <w:rsid w:val="007D03E1"/>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4FAD"/>
    <w:rsid w:val="007E5F40"/>
    <w:rsid w:val="007E6832"/>
    <w:rsid w:val="007E7338"/>
    <w:rsid w:val="007E75AC"/>
    <w:rsid w:val="007E75BF"/>
    <w:rsid w:val="007E7E75"/>
    <w:rsid w:val="007F072E"/>
    <w:rsid w:val="007F0830"/>
    <w:rsid w:val="007F1111"/>
    <w:rsid w:val="007F1876"/>
    <w:rsid w:val="007F1A08"/>
    <w:rsid w:val="007F1CF7"/>
    <w:rsid w:val="007F1EFF"/>
    <w:rsid w:val="007F1F74"/>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399A"/>
    <w:rsid w:val="008150D7"/>
    <w:rsid w:val="00815413"/>
    <w:rsid w:val="00815996"/>
    <w:rsid w:val="00816193"/>
    <w:rsid w:val="00816653"/>
    <w:rsid w:val="00816C42"/>
    <w:rsid w:val="00816F78"/>
    <w:rsid w:val="00820321"/>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0B47"/>
    <w:rsid w:val="00852902"/>
    <w:rsid w:val="00855123"/>
    <w:rsid w:val="008559EC"/>
    <w:rsid w:val="00856F9C"/>
    <w:rsid w:val="00861114"/>
    <w:rsid w:val="008624BD"/>
    <w:rsid w:val="00864464"/>
    <w:rsid w:val="0086448F"/>
    <w:rsid w:val="00865FE5"/>
    <w:rsid w:val="008673B9"/>
    <w:rsid w:val="0086789D"/>
    <w:rsid w:val="008679BB"/>
    <w:rsid w:val="0087181E"/>
    <w:rsid w:val="00872007"/>
    <w:rsid w:val="00874924"/>
    <w:rsid w:val="00874978"/>
    <w:rsid w:val="00874C5E"/>
    <w:rsid w:val="00874EC1"/>
    <w:rsid w:val="00875AFC"/>
    <w:rsid w:val="00876AAB"/>
    <w:rsid w:val="0087707D"/>
    <w:rsid w:val="00877688"/>
    <w:rsid w:val="00877FE7"/>
    <w:rsid w:val="00880A5C"/>
    <w:rsid w:val="00880D73"/>
    <w:rsid w:val="00881054"/>
    <w:rsid w:val="008810F2"/>
    <w:rsid w:val="00881180"/>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467"/>
    <w:rsid w:val="008A18B8"/>
    <w:rsid w:val="008A2A76"/>
    <w:rsid w:val="008A2F7D"/>
    <w:rsid w:val="008A4486"/>
    <w:rsid w:val="008A489F"/>
    <w:rsid w:val="008A5736"/>
    <w:rsid w:val="008A6435"/>
    <w:rsid w:val="008A7811"/>
    <w:rsid w:val="008B4698"/>
    <w:rsid w:val="008B47AB"/>
    <w:rsid w:val="008B4945"/>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242"/>
    <w:rsid w:val="008C39AB"/>
    <w:rsid w:val="008C4750"/>
    <w:rsid w:val="008C5FD6"/>
    <w:rsid w:val="008D0DF6"/>
    <w:rsid w:val="008D0E01"/>
    <w:rsid w:val="008D14A2"/>
    <w:rsid w:val="008D1EE1"/>
    <w:rsid w:val="008D209D"/>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67C8"/>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32"/>
    <w:rsid w:val="00931B71"/>
    <w:rsid w:val="009327C3"/>
    <w:rsid w:val="00932DC3"/>
    <w:rsid w:val="00933615"/>
    <w:rsid w:val="00933CA7"/>
    <w:rsid w:val="009341A7"/>
    <w:rsid w:val="009347FD"/>
    <w:rsid w:val="00937728"/>
    <w:rsid w:val="00937C7E"/>
    <w:rsid w:val="0094191C"/>
    <w:rsid w:val="00942DAD"/>
    <w:rsid w:val="00943F8C"/>
    <w:rsid w:val="00943FE1"/>
    <w:rsid w:val="00950569"/>
    <w:rsid w:val="00950D9E"/>
    <w:rsid w:val="009519A2"/>
    <w:rsid w:val="00951B52"/>
    <w:rsid w:val="00951C6F"/>
    <w:rsid w:val="00954254"/>
    <w:rsid w:val="00954AA1"/>
    <w:rsid w:val="0095547A"/>
    <w:rsid w:val="00957611"/>
    <w:rsid w:val="00960016"/>
    <w:rsid w:val="0096108C"/>
    <w:rsid w:val="00961224"/>
    <w:rsid w:val="009628F4"/>
    <w:rsid w:val="0096396C"/>
    <w:rsid w:val="009643CF"/>
    <w:rsid w:val="0096499D"/>
    <w:rsid w:val="009655D1"/>
    <w:rsid w:val="0096576C"/>
    <w:rsid w:val="009678D6"/>
    <w:rsid w:val="00970446"/>
    <w:rsid w:val="00970749"/>
    <w:rsid w:val="00971079"/>
    <w:rsid w:val="00971217"/>
    <w:rsid w:val="009713FA"/>
    <w:rsid w:val="00971946"/>
    <w:rsid w:val="009719D5"/>
    <w:rsid w:val="00971BF1"/>
    <w:rsid w:val="00972FB9"/>
    <w:rsid w:val="00972FC1"/>
    <w:rsid w:val="009735DD"/>
    <w:rsid w:val="00974B9F"/>
    <w:rsid w:val="009753E6"/>
    <w:rsid w:val="00977198"/>
    <w:rsid w:val="009777ED"/>
    <w:rsid w:val="00980B01"/>
    <w:rsid w:val="00980C43"/>
    <w:rsid w:val="00980F1D"/>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41EA"/>
    <w:rsid w:val="009B773A"/>
    <w:rsid w:val="009B787B"/>
    <w:rsid w:val="009C0632"/>
    <w:rsid w:val="009C0BF2"/>
    <w:rsid w:val="009C29FF"/>
    <w:rsid w:val="009C3AE7"/>
    <w:rsid w:val="009C529F"/>
    <w:rsid w:val="009C56F1"/>
    <w:rsid w:val="009C57A1"/>
    <w:rsid w:val="009C5B00"/>
    <w:rsid w:val="009C6869"/>
    <w:rsid w:val="009C7252"/>
    <w:rsid w:val="009C73A1"/>
    <w:rsid w:val="009C74B7"/>
    <w:rsid w:val="009D02D8"/>
    <w:rsid w:val="009D0E6E"/>
    <w:rsid w:val="009D1D62"/>
    <w:rsid w:val="009D2227"/>
    <w:rsid w:val="009D2FE5"/>
    <w:rsid w:val="009D3191"/>
    <w:rsid w:val="009D47AC"/>
    <w:rsid w:val="009D4C0B"/>
    <w:rsid w:val="009D4C85"/>
    <w:rsid w:val="009D6698"/>
    <w:rsid w:val="009E0A6A"/>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DE"/>
    <w:rsid w:val="009F33E8"/>
    <w:rsid w:val="009F39A0"/>
    <w:rsid w:val="009F4784"/>
    <w:rsid w:val="009F64E6"/>
    <w:rsid w:val="009F6AF4"/>
    <w:rsid w:val="009F6BD3"/>
    <w:rsid w:val="009F6F95"/>
    <w:rsid w:val="009F7252"/>
    <w:rsid w:val="009F72B3"/>
    <w:rsid w:val="009F7F6E"/>
    <w:rsid w:val="00A00576"/>
    <w:rsid w:val="00A01772"/>
    <w:rsid w:val="00A02EF5"/>
    <w:rsid w:val="00A0395C"/>
    <w:rsid w:val="00A03B46"/>
    <w:rsid w:val="00A03F66"/>
    <w:rsid w:val="00A04559"/>
    <w:rsid w:val="00A04BCF"/>
    <w:rsid w:val="00A055B8"/>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3CF"/>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6682"/>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676E3"/>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0A71"/>
    <w:rsid w:val="00A91550"/>
    <w:rsid w:val="00A91B7E"/>
    <w:rsid w:val="00A91F68"/>
    <w:rsid w:val="00A926EB"/>
    <w:rsid w:val="00A92830"/>
    <w:rsid w:val="00A929CE"/>
    <w:rsid w:val="00A93110"/>
    <w:rsid w:val="00A9352B"/>
    <w:rsid w:val="00A93834"/>
    <w:rsid w:val="00A9596D"/>
    <w:rsid w:val="00A964A6"/>
    <w:rsid w:val="00A97E1E"/>
    <w:rsid w:val="00A97F2D"/>
    <w:rsid w:val="00AA116C"/>
    <w:rsid w:val="00AA1806"/>
    <w:rsid w:val="00AA193B"/>
    <w:rsid w:val="00AA1DF0"/>
    <w:rsid w:val="00AA2370"/>
    <w:rsid w:val="00AA3B9B"/>
    <w:rsid w:val="00AA3F05"/>
    <w:rsid w:val="00AA420E"/>
    <w:rsid w:val="00AA427C"/>
    <w:rsid w:val="00AA4874"/>
    <w:rsid w:val="00AA6174"/>
    <w:rsid w:val="00AA695D"/>
    <w:rsid w:val="00AA6FB0"/>
    <w:rsid w:val="00AA7A91"/>
    <w:rsid w:val="00AA7C5B"/>
    <w:rsid w:val="00AB0244"/>
    <w:rsid w:val="00AB069B"/>
    <w:rsid w:val="00AB1BDA"/>
    <w:rsid w:val="00AB31B4"/>
    <w:rsid w:val="00AB4D6B"/>
    <w:rsid w:val="00AB4D8A"/>
    <w:rsid w:val="00AB5277"/>
    <w:rsid w:val="00AB5AAF"/>
    <w:rsid w:val="00AB6F1F"/>
    <w:rsid w:val="00AB7A1B"/>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1BC5"/>
    <w:rsid w:val="00AD276B"/>
    <w:rsid w:val="00AD43AB"/>
    <w:rsid w:val="00AD4C7C"/>
    <w:rsid w:val="00AD4DCB"/>
    <w:rsid w:val="00AD5A2A"/>
    <w:rsid w:val="00AD6069"/>
    <w:rsid w:val="00AD614F"/>
    <w:rsid w:val="00AD7569"/>
    <w:rsid w:val="00AD7E80"/>
    <w:rsid w:val="00AE12E3"/>
    <w:rsid w:val="00AE133D"/>
    <w:rsid w:val="00AE16A7"/>
    <w:rsid w:val="00AE40D3"/>
    <w:rsid w:val="00AE4C41"/>
    <w:rsid w:val="00AE5FF3"/>
    <w:rsid w:val="00AE611A"/>
    <w:rsid w:val="00AE6CC0"/>
    <w:rsid w:val="00AF14DE"/>
    <w:rsid w:val="00AF2FB7"/>
    <w:rsid w:val="00AF41E3"/>
    <w:rsid w:val="00AF4A58"/>
    <w:rsid w:val="00AF614A"/>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25D"/>
    <w:rsid w:val="00B1328A"/>
    <w:rsid w:val="00B1364E"/>
    <w:rsid w:val="00B13D44"/>
    <w:rsid w:val="00B142CE"/>
    <w:rsid w:val="00B14651"/>
    <w:rsid w:val="00B149F9"/>
    <w:rsid w:val="00B20510"/>
    <w:rsid w:val="00B21ACD"/>
    <w:rsid w:val="00B22377"/>
    <w:rsid w:val="00B22C3E"/>
    <w:rsid w:val="00B24E59"/>
    <w:rsid w:val="00B257C3"/>
    <w:rsid w:val="00B264F0"/>
    <w:rsid w:val="00B30BCC"/>
    <w:rsid w:val="00B314DE"/>
    <w:rsid w:val="00B31F97"/>
    <w:rsid w:val="00B3322E"/>
    <w:rsid w:val="00B3441F"/>
    <w:rsid w:val="00B34734"/>
    <w:rsid w:val="00B36A92"/>
    <w:rsid w:val="00B3759B"/>
    <w:rsid w:val="00B37F09"/>
    <w:rsid w:val="00B40C5F"/>
    <w:rsid w:val="00B4120D"/>
    <w:rsid w:val="00B41C7F"/>
    <w:rsid w:val="00B433CB"/>
    <w:rsid w:val="00B44896"/>
    <w:rsid w:val="00B4692C"/>
    <w:rsid w:val="00B47DA9"/>
    <w:rsid w:val="00B509E4"/>
    <w:rsid w:val="00B522FE"/>
    <w:rsid w:val="00B527CC"/>
    <w:rsid w:val="00B5334C"/>
    <w:rsid w:val="00B53573"/>
    <w:rsid w:val="00B53B1F"/>
    <w:rsid w:val="00B56746"/>
    <w:rsid w:val="00B60821"/>
    <w:rsid w:val="00B63666"/>
    <w:rsid w:val="00B63751"/>
    <w:rsid w:val="00B64417"/>
    <w:rsid w:val="00B65A75"/>
    <w:rsid w:val="00B66045"/>
    <w:rsid w:val="00B66E82"/>
    <w:rsid w:val="00B6765C"/>
    <w:rsid w:val="00B70AD6"/>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2F"/>
    <w:rsid w:val="00B8449F"/>
    <w:rsid w:val="00B84D93"/>
    <w:rsid w:val="00B85269"/>
    <w:rsid w:val="00B8762E"/>
    <w:rsid w:val="00B9068B"/>
    <w:rsid w:val="00B9133A"/>
    <w:rsid w:val="00B9145F"/>
    <w:rsid w:val="00B9154B"/>
    <w:rsid w:val="00B921FA"/>
    <w:rsid w:val="00B93960"/>
    <w:rsid w:val="00B93D2D"/>
    <w:rsid w:val="00B946CF"/>
    <w:rsid w:val="00B95072"/>
    <w:rsid w:val="00B951FB"/>
    <w:rsid w:val="00B97127"/>
    <w:rsid w:val="00B97D88"/>
    <w:rsid w:val="00BA1DA3"/>
    <w:rsid w:val="00BA3B00"/>
    <w:rsid w:val="00BA3E02"/>
    <w:rsid w:val="00BA427B"/>
    <w:rsid w:val="00BA52B4"/>
    <w:rsid w:val="00BA5B4E"/>
    <w:rsid w:val="00BA5ECA"/>
    <w:rsid w:val="00BA65E4"/>
    <w:rsid w:val="00BA68AA"/>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6791"/>
    <w:rsid w:val="00BC6DA0"/>
    <w:rsid w:val="00BC7255"/>
    <w:rsid w:val="00BC76F2"/>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E70B4"/>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6822"/>
    <w:rsid w:val="00C37AEC"/>
    <w:rsid w:val="00C407F5"/>
    <w:rsid w:val="00C40BDD"/>
    <w:rsid w:val="00C4322D"/>
    <w:rsid w:val="00C43D11"/>
    <w:rsid w:val="00C4441D"/>
    <w:rsid w:val="00C44740"/>
    <w:rsid w:val="00C44B30"/>
    <w:rsid w:val="00C45EC4"/>
    <w:rsid w:val="00C460FD"/>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337F"/>
    <w:rsid w:val="00C66F34"/>
    <w:rsid w:val="00C67A30"/>
    <w:rsid w:val="00C67A47"/>
    <w:rsid w:val="00C706A0"/>
    <w:rsid w:val="00C716D9"/>
    <w:rsid w:val="00C71AAA"/>
    <w:rsid w:val="00C732EB"/>
    <w:rsid w:val="00C73CD5"/>
    <w:rsid w:val="00C74043"/>
    <w:rsid w:val="00C77450"/>
    <w:rsid w:val="00C7775E"/>
    <w:rsid w:val="00C8010A"/>
    <w:rsid w:val="00C80333"/>
    <w:rsid w:val="00C80609"/>
    <w:rsid w:val="00C808FB"/>
    <w:rsid w:val="00C81477"/>
    <w:rsid w:val="00C81E62"/>
    <w:rsid w:val="00C81F68"/>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97B6D"/>
    <w:rsid w:val="00CA09B2"/>
    <w:rsid w:val="00CA0C09"/>
    <w:rsid w:val="00CA171A"/>
    <w:rsid w:val="00CA1A41"/>
    <w:rsid w:val="00CA299A"/>
    <w:rsid w:val="00CA30DE"/>
    <w:rsid w:val="00CA5845"/>
    <w:rsid w:val="00CA5D50"/>
    <w:rsid w:val="00CA6A68"/>
    <w:rsid w:val="00CA76AA"/>
    <w:rsid w:val="00CB072D"/>
    <w:rsid w:val="00CB0DCA"/>
    <w:rsid w:val="00CB1544"/>
    <w:rsid w:val="00CB1545"/>
    <w:rsid w:val="00CB3574"/>
    <w:rsid w:val="00CB4049"/>
    <w:rsid w:val="00CB4333"/>
    <w:rsid w:val="00CB4A42"/>
    <w:rsid w:val="00CB581A"/>
    <w:rsid w:val="00CB5921"/>
    <w:rsid w:val="00CB5BB4"/>
    <w:rsid w:val="00CB603C"/>
    <w:rsid w:val="00CB69EB"/>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2DEC"/>
    <w:rsid w:val="00CE32B5"/>
    <w:rsid w:val="00CE3CD9"/>
    <w:rsid w:val="00CE405E"/>
    <w:rsid w:val="00CE4420"/>
    <w:rsid w:val="00CE45C3"/>
    <w:rsid w:val="00CE4C71"/>
    <w:rsid w:val="00CE5CF2"/>
    <w:rsid w:val="00CE6B54"/>
    <w:rsid w:val="00CE7DA6"/>
    <w:rsid w:val="00CE7DFB"/>
    <w:rsid w:val="00CE7F6A"/>
    <w:rsid w:val="00CF112C"/>
    <w:rsid w:val="00CF1511"/>
    <w:rsid w:val="00CF190F"/>
    <w:rsid w:val="00CF23C3"/>
    <w:rsid w:val="00CF27AC"/>
    <w:rsid w:val="00CF27E9"/>
    <w:rsid w:val="00CF3B63"/>
    <w:rsid w:val="00CF41CB"/>
    <w:rsid w:val="00CF465A"/>
    <w:rsid w:val="00CF4CE6"/>
    <w:rsid w:val="00CF6A8F"/>
    <w:rsid w:val="00CF73FA"/>
    <w:rsid w:val="00D00188"/>
    <w:rsid w:val="00D001B2"/>
    <w:rsid w:val="00D002D6"/>
    <w:rsid w:val="00D0030B"/>
    <w:rsid w:val="00D00456"/>
    <w:rsid w:val="00D00505"/>
    <w:rsid w:val="00D00BE5"/>
    <w:rsid w:val="00D00F13"/>
    <w:rsid w:val="00D0196E"/>
    <w:rsid w:val="00D02A54"/>
    <w:rsid w:val="00D043CF"/>
    <w:rsid w:val="00D05655"/>
    <w:rsid w:val="00D05AA0"/>
    <w:rsid w:val="00D05AEB"/>
    <w:rsid w:val="00D062BB"/>
    <w:rsid w:val="00D0760A"/>
    <w:rsid w:val="00D077B6"/>
    <w:rsid w:val="00D07873"/>
    <w:rsid w:val="00D079CC"/>
    <w:rsid w:val="00D111A4"/>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6A5E"/>
    <w:rsid w:val="00D26F62"/>
    <w:rsid w:val="00D271F1"/>
    <w:rsid w:val="00D33902"/>
    <w:rsid w:val="00D3465B"/>
    <w:rsid w:val="00D35BBF"/>
    <w:rsid w:val="00D3798E"/>
    <w:rsid w:val="00D42A60"/>
    <w:rsid w:val="00D43C25"/>
    <w:rsid w:val="00D4441E"/>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1B2F"/>
    <w:rsid w:val="00D526DA"/>
    <w:rsid w:val="00D566C9"/>
    <w:rsid w:val="00D61644"/>
    <w:rsid w:val="00D65BDA"/>
    <w:rsid w:val="00D67EE9"/>
    <w:rsid w:val="00D67F69"/>
    <w:rsid w:val="00D707CB"/>
    <w:rsid w:val="00D70D99"/>
    <w:rsid w:val="00D70D9D"/>
    <w:rsid w:val="00D711EB"/>
    <w:rsid w:val="00D71B85"/>
    <w:rsid w:val="00D72313"/>
    <w:rsid w:val="00D72907"/>
    <w:rsid w:val="00D72C7A"/>
    <w:rsid w:val="00D73103"/>
    <w:rsid w:val="00D733C4"/>
    <w:rsid w:val="00D733E9"/>
    <w:rsid w:val="00D7364F"/>
    <w:rsid w:val="00D73953"/>
    <w:rsid w:val="00D75952"/>
    <w:rsid w:val="00D75E04"/>
    <w:rsid w:val="00D76FF9"/>
    <w:rsid w:val="00D777B2"/>
    <w:rsid w:val="00D77C2B"/>
    <w:rsid w:val="00D81AF3"/>
    <w:rsid w:val="00D81E76"/>
    <w:rsid w:val="00D8300D"/>
    <w:rsid w:val="00D838F0"/>
    <w:rsid w:val="00D84153"/>
    <w:rsid w:val="00D85C90"/>
    <w:rsid w:val="00D85D84"/>
    <w:rsid w:val="00D86455"/>
    <w:rsid w:val="00D8767A"/>
    <w:rsid w:val="00D8783B"/>
    <w:rsid w:val="00D90130"/>
    <w:rsid w:val="00D90B65"/>
    <w:rsid w:val="00D927DD"/>
    <w:rsid w:val="00D932F1"/>
    <w:rsid w:val="00D93C7A"/>
    <w:rsid w:val="00D94F4E"/>
    <w:rsid w:val="00D95390"/>
    <w:rsid w:val="00D95F6C"/>
    <w:rsid w:val="00D9670A"/>
    <w:rsid w:val="00D97A83"/>
    <w:rsid w:val="00DA057B"/>
    <w:rsid w:val="00DA0870"/>
    <w:rsid w:val="00DA155D"/>
    <w:rsid w:val="00DA1CE3"/>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63FC"/>
    <w:rsid w:val="00DB71B1"/>
    <w:rsid w:val="00DC46E8"/>
    <w:rsid w:val="00DC4A2C"/>
    <w:rsid w:val="00DC5469"/>
    <w:rsid w:val="00DC5A7B"/>
    <w:rsid w:val="00DC61F1"/>
    <w:rsid w:val="00DD2545"/>
    <w:rsid w:val="00DD2A1B"/>
    <w:rsid w:val="00DD2F57"/>
    <w:rsid w:val="00DD3B4F"/>
    <w:rsid w:val="00DD4C29"/>
    <w:rsid w:val="00DD568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655E"/>
    <w:rsid w:val="00DE68BB"/>
    <w:rsid w:val="00DE749C"/>
    <w:rsid w:val="00DE752D"/>
    <w:rsid w:val="00DE754E"/>
    <w:rsid w:val="00DF0854"/>
    <w:rsid w:val="00DF6BA6"/>
    <w:rsid w:val="00DF6E89"/>
    <w:rsid w:val="00DF73C7"/>
    <w:rsid w:val="00DF75F2"/>
    <w:rsid w:val="00DF7C2C"/>
    <w:rsid w:val="00DF7CEB"/>
    <w:rsid w:val="00E015F7"/>
    <w:rsid w:val="00E04044"/>
    <w:rsid w:val="00E047BC"/>
    <w:rsid w:val="00E0523D"/>
    <w:rsid w:val="00E0529B"/>
    <w:rsid w:val="00E05829"/>
    <w:rsid w:val="00E059FA"/>
    <w:rsid w:val="00E062F1"/>
    <w:rsid w:val="00E06DE9"/>
    <w:rsid w:val="00E105FF"/>
    <w:rsid w:val="00E14D18"/>
    <w:rsid w:val="00E14F86"/>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6325"/>
    <w:rsid w:val="00E2633B"/>
    <w:rsid w:val="00E26BA0"/>
    <w:rsid w:val="00E27055"/>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374E"/>
    <w:rsid w:val="00E4542D"/>
    <w:rsid w:val="00E4669B"/>
    <w:rsid w:val="00E47129"/>
    <w:rsid w:val="00E47C54"/>
    <w:rsid w:val="00E47D0D"/>
    <w:rsid w:val="00E505A0"/>
    <w:rsid w:val="00E508E0"/>
    <w:rsid w:val="00E509FA"/>
    <w:rsid w:val="00E50D6A"/>
    <w:rsid w:val="00E51865"/>
    <w:rsid w:val="00E51B2D"/>
    <w:rsid w:val="00E525BD"/>
    <w:rsid w:val="00E55335"/>
    <w:rsid w:val="00E5562F"/>
    <w:rsid w:val="00E55C63"/>
    <w:rsid w:val="00E56839"/>
    <w:rsid w:val="00E56853"/>
    <w:rsid w:val="00E5691C"/>
    <w:rsid w:val="00E577D3"/>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1A2E"/>
    <w:rsid w:val="00E92063"/>
    <w:rsid w:val="00E925F2"/>
    <w:rsid w:val="00E937B8"/>
    <w:rsid w:val="00E959C0"/>
    <w:rsid w:val="00E96759"/>
    <w:rsid w:val="00E96E1F"/>
    <w:rsid w:val="00E96F71"/>
    <w:rsid w:val="00EA06AC"/>
    <w:rsid w:val="00EA0945"/>
    <w:rsid w:val="00EA1374"/>
    <w:rsid w:val="00EA21C7"/>
    <w:rsid w:val="00EA3ECA"/>
    <w:rsid w:val="00EA4F78"/>
    <w:rsid w:val="00EA58E2"/>
    <w:rsid w:val="00EA657E"/>
    <w:rsid w:val="00EA688F"/>
    <w:rsid w:val="00EA78DD"/>
    <w:rsid w:val="00EB0D5E"/>
    <w:rsid w:val="00EB24F6"/>
    <w:rsid w:val="00EB28DC"/>
    <w:rsid w:val="00EB2A3A"/>
    <w:rsid w:val="00EB3C4F"/>
    <w:rsid w:val="00EB43FE"/>
    <w:rsid w:val="00EB44B5"/>
    <w:rsid w:val="00EB4559"/>
    <w:rsid w:val="00EB4979"/>
    <w:rsid w:val="00EB4DFD"/>
    <w:rsid w:val="00EB5736"/>
    <w:rsid w:val="00EB6061"/>
    <w:rsid w:val="00EB6115"/>
    <w:rsid w:val="00EB6204"/>
    <w:rsid w:val="00EB6F64"/>
    <w:rsid w:val="00EB77EA"/>
    <w:rsid w:val="00EC0AE4"/>
    <w:rsid w:val="00EC0FFF"/>
    <w:rsid w:val="00EC1F23"/>
    <w:rsid w:val="00EC2F1C"/>
    <w:rsid w:val="00EC3322"/>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5EFD"/>
    <w:rsid w:val="00ED6D69"/>
    <w:rsid w:val="00ED6DD1"/>
    <w:rsid w:val="00ED7604"/>
    <w:rsid w:val="00EE5AAC"/>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6A6"/>
    <w:rsid w:val="00F01F6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58A4"/>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2EA"/>
    <w:rsid w:val="00F42E52"/>
    <w:rsid w:val="00F4309E"/>
    <w:rsid w:val="00F43502"/>
    <w:rsid w:val="00F47345"/>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1314"/>
    <w:rsid w:val="00F6322F"/>
    <w:rsid w:val="00F63608"/>
    <w:rsid w:val="00F63771"/>
    <w:rsid w:val="00F6394C"/>
    <w:rsid w:val="00F652F8"/>
    <w:rsid w:val="00F65917"/>
    <w:rsid w:val="00F65B6E"/>
    <w:rsid w:val="00F65C26"/>
    <w:rsid w:val="00F67533"/>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6AD7"/>
    <w:rsid w:val="00F770B5"/>
    <w:rsid w:val="00F77395"/>
    <w:rsid w:val="00F7751F"/>
    <w:rsid w:val="00F8004E"/>
    <w:rsid w:val="00F808D8"/>
    <w:rsid w:val="00F82418"/>
    <w:rsid w:val="00F83357"/>
    <w:rsid w:val="00F83F21"/>
    <w:rsid w:val="00F84867"/>
    <w:rsid w:val="00F84B84"/>
    <w:rsid w:val="00F86361"/>
    <w:rsid w:val="00F90616"/>
    <w:rsid w:val="00F91205"/>
    <w:rsid w:val="00F92F11"/>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76F2"/>
    <w:rsid w:val="00FA7B05"/>
    <w:rsid w:val="00FB04C7"/>
    <w:rsid w:val="00FB19B4"/>
    <w:rsid w:val="00FB1CB4"/>
    <w:rsid w:val="00FB2DD7"/>
    <w:rsid w:val="00FB506D"/>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284E"/>
    <w:rsid w:val="00FD35C6"/>
    <w:rsid w:val="00FD3641"/>
    <w:rsid w:val="00FD3C5C"/>
    <w:rsid w:val="00FD4015"/>
    <w:rsid w:val="00FD4450"/>
    <w:rsid w:val="00FD4B25"/>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833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7787608">
      <w:bodyDiv w:val="1"/>
      <w:marLeft w:val="0"/>
      <w:marRight w:val="0"/>
      <w:marTop w:val="0"/>
      <w:marBottom w:val="0"/>
      <w:divBdr>
        <w:top w:val="none" w:sz="0" w:space="0" w:color="auto"/>
        <w:left w:val="none" w:sz="0" w:space="0" w:color="auto"/>
        <w:bottom w:val="none" w:sz="0" w:space="0" w:color="auto"/>
        <w:right w:val="none" w:sz="0" w:space="0" w:color="auto"/>
      </w:divBdr>
      <w:divsChild>
        <w:div w:id="2117945821">
          <w:marLeft w:val="0"/>
          <w:marRight w:val="0"/>
          <w:marTop w:val="0"/>
          <w:marBottom w:val="0"/>
          <w:divBdr>
            <w:top w:val="none" w:sz="0" w:space="0" w:color="auto"/>
            <w:left w:val="none" w:sz="0" w:space="0" w:color="auto"/>
            <w:bottom w:val="none" w:sz="0" w:space="0" w:color="auto"/>
            <w:right w:val="none" w:sz="0" w:space="0" w:color="auto"/>
          </w:divBdr>
        </w:div>
        <w:div w:id="1008629760">
          <w:marLeft w:val="0"/>
          <w:marRight w:val="0"/>
          <w:marTop w:val="0"/>
          <w:marBottom w:val="0"/>
          <w:divBdr>
            <w:top w:val="none" w:sz="0" w:space="0" w:color="auto"/>
            <w:left w:val="none" w:sz="0" w:space="0" w:color="auto"/>
            <w:bottom w:val="none" w:sz="0" w:space="0" w:color="auto"/>
            <w:right w:val="none" w:sz="0" w:space="0" w:color="auto"/>
          </w:divBdr>
        </w:div>
        <w:div w:id="963314728">
          <w:marLeft w:val="0"/>
          <w:marRight w:val="0"/>
          <w:marTop w:val="0"/>
          <w:marBottom w:val="0"/>
          <w:divBdr>
            <w:top w:val="none" w:sz="0" w:space="0" w:color="auto"/>
            <w:left w:val="none" w:sz="0" w:space="0" w:color="auto"/>
            <w:bottom w:val="none" w:sz="0" w:space="0" w:color="auto"/>
            <w:right w:val="none" w:sz="0" w:space="0" w:color="auto"/>
          </w:divBdr>
        </w:div>
        <w:div w:id="1761173836">
          <w:marLeft w:val="0"/>
          <w:marRight w:val="0"/>
          <w:marTop w:val="0"/>
          <w:marBottom w:val="0"/>
          <w:divBdr>
            <w:top w:val="none" w:sz="0" w:space="0" w:color="auto"/>
            <w:left w:val="none" w:sz="0" w:space="0" w:color="auto"/>
            <w:bottom w:val="none" w:sz="0" w:space="0" w:color="auto"/>
            <w:right w:val="none" w:sz="0" w:space="0" w:color="auto"/>
          </w:divBdr>
        </w:div>
        <w:div w:id="1294285490">
          <w:marLeft w:val="0"/>
          <w:marRight w:val="0"/>
          <w:marTop w:val="0"/>
          <w:marBottom w:val="0"/>
          <w:divBdr>
            <w:top w:val="none" w:sz="0" w:space="0" w:color="auto"/>
            <w:left w:val="none" w:sz="0" w:space="0" w:color="auto"/>
            <w:bottom w:val="none" w:sz="0" w:space="0" w:color="auto"/>
            <w:right w:val="none" w:sz="0" w:space="0" w:color="auto"/>
          </w:divBdr>
        </w:div>
        <w:div w:id="1156922947">
          <w:marLeft w:val="0"/>
          <w:marRight w:val="0"/>
          <w:marTop w:val="0"/>
          <w:marBottom w:val="0"/>
          <w:divBdr>
            <w:top w:val="none" w:sz="0" w:space="0" w:color="auto"/>
            <w:left w:val="none" w:sz="0" w:space="0" w:color="auto"/>
            <w:bottom w:val="none" w:sz="0" w:space="0" w:color="auto"/>
            <w:right w:val="none" w:sz="0" w:space="0" w:color="auto"/>
          </w:divBdr>
        </w:div>
        <w:div w:id="984164824">
          <w:marLeft w:val="0"/>
          <w:marRight w:val="0"/>
          <w:marTop w:val="0"/>
          <w:marBottom w:val="0"/>
          <w:divBdr>
            <w:top w:val="none" w:sz="0" w:space="0" w:color="auto"/>
            <w:left w:val="none" w:sz="0" w:space="0" w:color="auto"/>
            <w:bottom w:val="none" w:sz="0" w:space="0" w:color="auto"/>
            <w:right w:val="none" w:sz="0" w:space="0" w:color="auto"/>
          </w:divBdr>
        </w:div>
        <w:div w:id="1559777573">
          <w:marLeft w:val="0"/>
          <w:marRight w:val="0"/>
          <w:marTop w:val="0"/>
          <w:marBottom w:val="0"/>
          <w:divBdr>
            <w:top w:val="none" w:sz="0" w:space="0" w:color="auto"/>
            <w:left w:val="none" w:sz="0" w:space="0" w:color="auto"/>
            <w:bottom w:val="none" w:sz="0" w:space="0" w:color="auto"/>
            <w:right w:val="none" w:sz="0" w:space="0" w:color="auto"/>
          </w:divBdr>
        </w:div>
        <w:div w:id="499661633">
          <w:marLeft w:val="720"/>
          <w:marRight w:val="0"/>
          <w:marTop w:val="0"/>
          <w:marBottom w:val="0"/>
          <w:divBdr>
            <w:top w:val="none" w:sz="0" w:space="0" w:color="auto"/>
            <w:left w:val="none" w:sz="0" w:space="0" w:color="auto"/>
            <w:bottom w:val="none" w:sz="0" w:space="0" w:color="auto"/>
            <w:right w:val="none" w:sz="0" w:space="0" w:color="auto"/>
          </w:divBdr>
        </w:div>
        <w:div w:id="939679192">
          <w:marLeft w:val="720"/>
          <w:marRight w:val="0"/>
          <w:marTop w:val="0"/>
          <w:marBottom w:val="0"/>
          <w:divBdr>
            <w:top w:val="none" w:sz="0" w:space="0" w:color="auto"/>
            <w:left w:val="none" w:sz="0" w:space="0" w:color="auto"/>
            <w:bottom w:val="none" w:sz="0" w:space="0" w:color="auto"/>
            <w:right w:val="none" w:sz="0" w:space="0" w:color="auto"/>
          </w:divBdr>
        </w:div>
        <w:div w:id="1389037132">
          <w:marLeft w:val="720"/>
          <w:marRight w:val="0"/>
          <w:marTop w:val="0"/>
          <w:marBottom w:val="0"/>
          <w:divBdr>
            <w:top w:val="none" w:sz="0" w:space="0" w:color="auto"/>
            <w:left w:val="none" w:sz="0" w:space="0" w:color="auto"/>
            <w:bottom w:val="none" w:sz="0" w:space="0" w:color="auto"/>
            <w:right w:val="none" w:sz="0" w:space="0" w:color="auto"/>
          </w:divBdr>
        </w:div>
        <w:div w:id="642661519">
          <w:marLeft w:val="720"/>
          <w:marRight w:val="0"/>
          <w:marTop w:val="0"/>
          <w:marBottom w:val="0"/>
          <w:divBdr>
            <w:top w:val="none" w:sz="0" w:space="0" w:color="auto"/>
            <w:left w:val="none" w:sz="0" w:space="0" w:color="auto"/>
            <w:bottom w:val="none" w:sz="0" w:space="0" w:color="auto"/>
            <w:right w:val="none" w:sz="0" w:space="0" w:color="auto"/>
          </w:divBdr>
        </w:div>
        <w:div w:id="1490251332">
          <w:marLeft w:val="0"/>
          <w:marRight w:val="0"/>
          <w:marTop w:val="0"/>
          <w:marBottom w:val="0"/>
          <w:divBdr>
            <w:top w:val="none" w:sz="0" w:space="0" w:color="auto"/>
            <w:left w:val="none" w:sz="0" w:space="0" w:color="auto"/>
            <w:bottom w:val="none" w:sz="0" w:space="0" w:color="auto"/>
            <w:right w:val="none" w:sz="0" w:space="0" w:color="auto"/>
          </w:divBdr>
        </w:div>
        <w:div w:id="1594585754">
          <w:marLeft w:val="0"/>
          <w:marRight w:val="0"/>
          <w:marTop w:val="0"/>
          <w:marBottom w:val="0"/>
          <w:divBdr>
            <w:top w:val="none" w:sz="0" w:space="0" w:color="auto"/>
            <w:left w:val="none" w:sz="0" w:space="0" w:color="auto"/>
            <w:bottom w:val="none" w:sz="0" w:space="0" w:color="auto"/>
            <w:right w:val="none" w:sz="0" w:space="0" w:color="auto"/>
          </w:divBdr>
        </w:div>
        <w:div w:id="664168601">
          <w:marLeft w:val="0"/>
          <w:marRight w:val="0"/>
          <w:marTop w:val="0"/>
          <w:marBottom w:val="0"/>
          <w:divBdr>
            <w:top w:val="none" w:sz="0" w:space="0" w:color="auto"/>
            <w:left w:val="none" w:sz="0" w:space="0" w:color="auto"/>
            <w:bottom w:val="none" w:sz="0" w:space="0" w:color="auto"/>
            <w:right w:val="none" w:sz="0" w:space="0" w:color="auto"/>
          </w:divBdr>
        </w:div>
        <w:div w:id="1574008267">
          <w:marLeft w:val="0"/>
          <w:marRight w:val="0"/>
          <w:marTop w:val="0"/>
          <w:marBottom w:val="0"/>
          <w:divBdr>
            <w:top w:val="none" w:sz="0" w:space="0" w:color="auto"/>
            <w:left w:val="none" w:sz="0" w:space="0" w:color="auto"/>
            <w:bottom w:val="none" w:sz="0" w:space="0" w:color="auto"/>
            <w:right w:val="none" w:sz="0" w:space="0" w:color="auto"/>
          </w:divBdr>
        </w:div>
        <w:div w:id="216089558">
          <w:marLeft w:val="0"/>
          <w:marRight w:val="0"/>
          <w:marTop w:val="0"/>
          <w:marBottom w:val="0"/>
          <w:divBdr>
            <w:top w:val="none" w:sz="0" w:space="0" w:color="auto"/>
            <w:left w:val="none" w:sz="0" w:space="0" w:color="auto"/>
            <w:bottom w:val="none" w:sz="0" w:space="0" w:color="auto"/>
            <w:right w:val="none" w:sz="0" w:space="0" w:color="auto"/>
          </w:divBdr>
        </w:div>
        <w:div w:id="398941562">
          <w:marLeft w:val="0"/>
          <w:marRight w:val="0"/>
          <w:marTop w:val="0"/>
          <w:marBottom w:val="0"/>
          <w:divBdr>
            <w:top w:val="none" w:sz="0" w:space="0" w:color="auto"/>
            <w:left w:val="none" w:sz="0" w:space="0" w:color="auto"/>
            <w:bottom w:val="none" w:sz="0" w:space="0" w:color="auto"/>
            <w:right w:val="none" w:sz="0" w:space="0" w:color="auto"/>
          </w:divBdr>
        </w:div>
        <w:div w:id="1127315440">
          <w:marLeft w:val="0"/>
          <w:marRight w:val="0"/>
          <w:marTop w:val="0"/>
          <w:marBottom w:val="0"/>
          <w:divBdr>
            <w:top w:val="none" w:sz="0" w:space="0" w:color="auto"/>
            <w:left w:val="none" w:sz="0" w:space="0" w:color="auto"/>
            <w:bottom w:val="none" w:sz="0" w:space="0" w:color="auto"/>
            <w:right w:val="none" w:sz="0" w:space="0" w:color="auto"/>
          </w:divBdr>
        </w:div>
        <w:div w:id="1392192246">
          <w:marLeft w:val="0"/>
          <w:marRight w:val="0"/>
          <w:marTop w:val="0"/>
          <w:marBottom w:val="0"/>
          <w:divBdr>
            <w:top w:val="none" w:sz="0" w:space="0" w:color="auto"/>
            <w:left w:val="none" w:sz="0" w:space="0" w:color="auto"/>
            <w:bottom w:val="none" w:sz="0" w:space="0" w:color="auto"/>
            <w:right w:val="none" w:sz="0" w:space="0" w:color="auto"/>
          </w:divBdr>
        </w:div>
        <w:div w:id="1104299402">
          <w:marLeft w:val="0"/>
          <w:marRight w:val="0"/>
          <w:marTop w:val="0"/>
          <w:marBottom w:val="0"/>
          <w:divBdr>
            <w:top w:val="none" w:sz="0" w:space="0" w:color="auto"/>
            <w:left w:val="none" w:sz="0" w:space="0" w:color="auto"/>
            <w:bottom w:val="none" w:sz="0" w:space="0" w:color="auto"/>
            <w:right w:val="none" w:sz="0" w:space="0" w:color="auto"/>
          </w:divBdr>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5C1F5-A179-45D5-A5AC-AED308D1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111</TotalTime>
  <Pages>5</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User</cp:lastModifiedBy>
  <cp:revision>9</cp:revision>
  <cp:lastPrinted>1901-01-01T05:00:00Z</cp:lastPrinted>
  <dcterms:created xsi:type="dcterms:W3CDTF">2022-03-21T16:12:00Z</dcterms:created>
  <dcterms:modified xsi:type="dcterms:W3CDTF">2022-04-04T13:57:00Z</dcterms:modified>
</cp:coreProperties>
</file>