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942B64D" w:rsidR="004152DF" w:rsidRDefault="00AA53B7">
            <w:pPr>
              <w:pStyle w:val="T2"/>
            </w:pPr>
            <w:r>
              <w:t>Removing Content ID from EBCS MPDU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FB007D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820F9D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502205">
              <w:rPr>
                <w:b w:val="0"/>
                <w:sz w:val="20"/>
              </w:rPr>
              <w:t>8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3B5C65D3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AA53B7">
                              <w:t>to remove content ID from EBCS MPDU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3B5C65D3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AA53B7">
                        <w:t>to remove content ID from EBCS MPDU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0DE441E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820F9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7255B1A8" w:rsidR="00E42474" w:rsidRPr="00ED6E95" w:rsidRDefault="00E42474" w:rsidP="00E42474">
      <w:pPr>
        <w:pStyle w:val="3"/>
      </w:pPr>
      <w:r>
        <w:t>9.3.2.1.4 The frame body</w:t>
      </w:r>
    </w:p>
    <w:p w14:paraId="37D9C69B" w14:textId="77777777" w:rsidR="00E42474" w:rsidRDefault="00E42474" w:rsidP="00E42474">
      <w:pPr>
        <w:pStyle w:val="main"/>
      </w:pPr>
    </w:p>
    <w:p w14:paraId="38A4E933" w14:textId="0D2151FE" w:rsidR="00E42474" w:rsidRPr="00A26444" w:rsidRDefault="00E42474" w:rsidP="00E4247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the paragraph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2993088B" w14:textId="525325A9" w:rsidR="00E42474" w:rsidRDefault="00E42474" w:rsidP="00E42474">
      <w:pPr>
        <w:pStyle w:val="main"/>
      </w:pPr>
    </w:p>
    <w:p w14:paraId="0E60EE77" w14:textId="77777777" w:rsidR="00E42474" w:rsidRDefault="00E42474" w:rsidP="00E42474">
      <w:pPr>
        <w:pStyle w:val="main"/>
      </w:pPr>
      <w:r>
        <w:t>For Data frames of subtype Null, QoS Null, QoS CF-Ack, QoS CF-Poll, and QoS CF-Ack +CF-Poll, the</w:t>
      </w:r>
    </w:p>
    <w:p w14:paraId="37A90B98" w14:textId="77777777" w:rsidR="00E42474" w:rsidRDefault="00E42474" w:rsidP="00E42474">
      <w:pPr>
        <w:pStyle w:val="main"/>
      </w:pPr>
      <w:r>
        <w:t>Frame Body field is null (i.e., has a length of 0 octets); these subtypes are used for MAC control purposes.</w:t>
      </w:r>
    </w:p>
    <w:p w14:paraId="6B2EA12E" w14:textId="77777777" w:rsidR="00E42474" w:rsidRDefault="00E42474" w:rsidP="00E42474">
      <w:pPr>
        <w:pStyle w:val="main"/>
      </w:pPr>
      <w:r>
        <w:t xml:space="preserve">For Data frames of subtype Data, the Frame Body field contains </w:t>
      </w:r>
      <w:proofErr w:type="gramStart"/>
      <w:r>
        <w:t>all of</w:t>
      </w:r>
      <w:proofErr w:type="gramEnd"/>
      <w:r>
        <w:t>, or a fragment of, an MSDU after any</w:t>
      </w:r>
    </w:p>
    <w:p w14:paraId="76EA4F2E" w14:textId="77777777" w:rsidR="00E42474" w:rsidRDefault="00E42474" w:rsidP="00E42474">
      <w:pPr>
        <w:pStyle w:val="main"/>
      </w:pPr>
      <w:r>
        <w:t>encapsulation for security. For Data frames of subtypes QoS Data, QoS Data +CF-Ack, QoS Data +CF-Poll,</w:t>
      </w:r>
    </w:p>
    <w:p w14:paraId="15EC8017" w14:textId="77777777" w:rsidR="00E42474" w:rsidRDefault="00E42474" w:rsidP="00E42474">
      <w:pPr>
        <w:pStyle w:val="main"/>
      </w:pPr>
      <w:r>
        <w:t>and QoS Data +CF-Ack +CF-Poll, the Frame Body field contains an MSDU (or fragment thereof) or AMSDU</w:t>
      </w:r>
    </w:p>
    <w:p w14:paraId="2CFAA6E2" w14:textId="77777777" w:rsidR="00E42474" w:rsidRDefault="00E42474" w:rsidP="00E42474">
      <w:pPr>
        <w:pStyle w:val="main"/>
      </w:pPr>
      <w:r>
        <w:t>after any encapsulation for security. For Data frames of subtype QoS Data that are transmitted by a</w:t>
      </w:r>
    </w:p>
    <w:p w14:paraId="26E0EC3E" w14:textId="77777777" w:rsidR="00E42474" w:rsidRDefault="00E42474" w:rsidP="00E42474">
      <w:pPr>
        <w:pStyle w:val="main"/>
      </w:pPr>
      <w:r>
        <w:t>mesh STA, the Frame Body field also contains a Mesh Control field, as described in 9.2.4.8.3 (Mesh Control</w:t>
      </w:r>
    </w:p>
    <w:p w14:paraId="1DD3CC95" w14:textId="77777777" w:rsidR="00E42474" w:rsidRPr="00DB195C" w:rsidRDefault="00E42474" w:rsidP="00E42474">
      <w:pPr>
        <w:pStyle w:val="main"/>
        <w:rPr>
          <w:u w:val="single"/>
        </w:rPr>
      </w:pPr>
      <w:r>
        <w:t xml:space="preserve">field). </w:t>
      </w:r>
      <w:r w:rsidRPr="00DB195C">
        <w:rPr>
          <w:u w:val="single"/>
        </w:rPr>
        <w:t>For Data frames of subtype EBCS Data, the Frame Body field contains an MSDU and overhead for</w:t>
      </w:r>
    </w:p>
    <w:p w14:paraId="615C4399" w14:textId="77777777" w:rsidR="00E42474" w:rsidRPr="00DB195C" w:rsidRDefault="00E42474" w:rsidP="00E42474">
      <w:pPr>
        <w:pStyle w:val="main"/>
        <w:rPr>
          <w:u w:val="single"/>
        </w:rPr>
      </w:pPr>
      <w:r w:rsidRPr="00DB195C">
        <w:rPr>
          <w:u w:val="single"/>
        </w:rPr>
        <w:t>authentication in case of PKFA or HCFA, as described in 12.14.2.3 (PKFA MPDU format) or 12.14.3.3</w:t>
      </w:r>
    </w:p>
    <w:p w14:paraId="2B9A2BC3" w14:textId="77777777" w:rsidR="00E42474" w:rsidRPr="00E42474" w:rsidRDefault="00E42474" w:rsidP="00E42474">
      <w:pPr>
        <w:pStyle w:val="main"/>
        <w:rPr>
          <w:strike/>
          <w:color w:val="FF0000"/>
        </w:rPr>
      </w:pPr>
      <w:r w:rsidRPr="00DB195C">
        <w:rPr>
          <w:u w:val="single"/>
        </w:rPr>
        <w:t>(HCFA MPDU generation) respectively; in the case of HLSA, the Frame Body field contains an MSDU</w:t>
      </w:r>
      <w:r w:rsidRPr="00E42474">
        <w:rPr>
          <w:strike/>
          <w:color w:val="FF0000"/>
        </w:rPr>
        <w:t xml:space="preserve"> and</w:t>
      </w:r>
    </w:p>
    <w:p w14:paraId="5AD89A90" w14:textId="548D8FE3" w:rsidR="00E42474" w:rsidRDefault="00E42474" w:rsidP="00E42474">
      <w:pPr>
        <w:pStyle w:val="main"/>
      </w:pPr>
      <w:r w:rsidRPr="00E42474">
        <w:rPr>
          <w:strike/>
          <w:color w:val="FF0000"/>
        </w:rPr>
        <w:t>EBCS overhead as described in 12.14.4.2 (HLSA MPDU Generation)</w:t>
      </w:r>
      <w:r>
        <w:t>.</w:t>
      </w:r>
    </w:p>
    <w:p w14:paraId="3604D157" w14:textId="71DFD8D5" w:rsidR="00E42474" w:rsidRDefault="00E42474" w:rsidP="00E42474">
      <w:pPr>
        <w:pStyle w:val="main"/>
      </w:pPr>
    </w:p>
    <w:p w14:paraId="08D8102D" w14:textId="77777777" w:rsidR="0025127A" w:rsidRPr="00ED6E95" w:rsidRDefault="0025127A" w:rsidP="0025127A">
      <w:pPr>
        <w:pStyle w:val="3"/>
      </w:pPr>
      <w:r>
        <w:t>11.55.2.2 EBCS DL operation at an EBCS AP</w:t>
      </w:r>
    </w:p>
    <w:p w14:paraId="3799DBDD" w14:textId="24947704" w:rsidR="0025127A" w:rsidRDefault="0025127A" w:rsidP="00E42474">
      <w:pPr>
        <w:pStyle w:val="main"/>
        <w:rPr>
          <w:rFonts w:hint="eastAsia"/>
        </w:rPr>
      </w:pPr>
    </w:p>
    <w:p w14:paraId="22E55F3B" w14:textId="215D19F2" w:rsidR="0025127A" w:rsidRPr="005263A5" w:rsidRDefault="0025127A" w:rsidP="0025127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P77L33 as follows</w:t>
      </w:r>
      <w:r w:rsidRPr="00FC6ABD">
        <w:rPr>
          <w:b/>
          <w:bCs/>
          <w:i/>
          <w:iCs/>
          <w:color w:val="FF0000"/>
          <w:highlight w:val="yellow"/>
        </w:rPr>
        <w:t>:</w:t>
      </w:r>
      <w:r w:rsidR="00FC6ABD" w:rsidRPr="00FC6ABD">
        <w:rPr>
          <w:b/>
          <w:bCs/>
          <w:i/>
          <w:iCs/>
          <w:color w:val="FF0000"/>
          <w:highlight w:val="yellow"/>
        </w:rPr>
        <w:t xml:space="preserve"> (Baseline: 11-22</w:t>
      </w:r>
      <w:r w:rsidR="00FC6ABD">
        <w:rPr>
          <w:b/>
          <w:bCs/>
          <w:i/>
          <w:iCs/>
          <w:color w:val="FF0000"/>
          <w:highlight w:val="yellow"/>
        </w:rPr>
        <w:t>/00</w:t>
      </w:r>
      <w:r w:rsidR="00FC6ABD" w:rsidRPr="00FC6ABD">
        <w:rPr>
          <w:b/>
          <w:bCs/>
          <w:i/>
          <w:iCs/>
          <w:color w:val="FF0000"/>
          <w:highlight w:val="yellow"/>
        </w:rPr>
        <w:t>89r8)</w:t>
      </w:r>
    </w:p>
    <w:p w14:paraId="54833086" w14:textId="77777777" w:rsidR="0025127A" w:rsidRPr="005D0311" w:rsidRDefault="0025127A" w:rsidP="0025127A">
      <w:pPr>
        <w:pStyle w:val="main"/>
      </w:pPr>
    </w:p>
    <w:p w14:paraId="61D23AE6" w14:textId="6D29A4D6" w:rsidR="0025127A" w:rsidRDefault="0025127A" w:rsidP="0025127A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FC6ABD">
        <w:rPr>
          <w:rFonts w:hint="eastAsia"/>
        </w:rPr>
        <w:t xml:space="preserve"> </w:t>
      </w:r>
      <w:r>
        <w:t xml:space="preserve">802.1X filtering. </w:t>
      </w:r>
      <w:r w:rsidRPr="00FC6ABD">
        <w:rPr>
          <w:strike/>
          <w:color w:val="FF0000"/>
        </w:rPr>
        <w:t>The EBCS filter affiliated with the AP (see Figure 5-1 (MAC data plane architecture)) that is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 xml:space="preserve">configured according to the </w:t>
      </w:r>
      <w:r w:rsidR="00FC6ABD" w:rsidRPr="00FC6ABD">
        <w:rPr>
          <w:strike/>
          <w:color w:val="FF0000"/>
        </w:rPr>
        <w:t>dot11EBCSTrafficStreamTable</w:t>
      </w:r>
      <w:r w:rsidRPr="00FC6ABD">
        <w:rPr>
          <w:strike/>
          <w:color w:val="FF0000"/>
        </w:rPr>
        <w:t xml:space="preserve"> shall filter the MSDU by the destination address and the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>EBCS content ID in the MA-</w:t>
      </w:r>
      <w:proofErr w:type="spellStart"/>
      <w:r w:rsidRPr="00FC6ABD">
        <w:rPr>
          <w:strike/>
          <w:color w:val="FF0000"/>
        </w:rPr>
        <w:t>UNITDATA.request</w:t>
      </w:r>
      <w:proofErr w:type="spellEnd"/>
      <w:r w:rsidRPr="00FC6ABD">
        <w:rPr>
          <w:strike/>
          <w:color w:val="FF0000"/>
        </w:rPr>
        <w:t>. If the EBCS content ID is not null, and the destination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 xml:space="preserve">address and the EBCS content ID are specified in the </w:t>
      </w:r>
      <w:r w:rsidR="00FC6ABD" w:rsidRPr="00FC6ABD">
        <w:rPr>
          <w:strike/>
          <w:color w:val="FF0000"/>
        </w:rPr>
        <w:t>dot11EBCSTrafficStreamTable</w:t>
      </w:r>
      <w:r w:rsidRPr="00FC6ABD">
        <w:rPr>
          <w:strike/>
          <w:color w:val="FF0000"/>
        </w:rPr>
        <w:t>, the EBCS filter shall pass the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>MSDU. If the EBCS content ID is not null, and the destination address or the EBCS content ID is not specified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 xml:space="preserve">in the </w:t>
      </w:r>
      <w:r w:rsidR="00FC6ABD" w:rsidRPr="00FC6ABD">
        <w:rPr>
          <w:strike/>
          <w:color w:val="FF0000"/>
        </w:rPr>
        <w:t>dot11EBCSTrafficStreamTable</w:t>
      </w:r>
      <w:r w:rsidRPr="00FC6ABD">
        <w:rPr>
          <w:strike/>
          <w:color w:val="FF0000"/>
        </w:rPr>
        <w:t>, the EBCS filter shall discard the MSDU. If the EBCS content ID is null, the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>EBCS filter shall pass the MSDU as non-EBCS traffic. An MSDU with a non-null EBCS content ID shall have</w:t>
      </w:r>
      <w:r w:rsidR="00FC6ABD" w:rsidRPr="00FC6ABD">
        <w:rPr>
          <w:rFonts w:hint="eastAsia"/>
          <w:strike/>
          <w:color w:val="FF0000"/>
        </w:rPr>
        <w:t xml:space="preserve"> </w:t>
      </w:r>
      <w:r w:rsidRPr="00FC6ABD">
        <w:rPr>
          <w:strike/>
          <w:color w:val="FF0000"/>
        </w:rPr>
        <w:t>one of the following three frame authentication mechanisms.</w:t>
      </w:r>
    </w:p>
    <w:p w14:paraId="30ED83C8" w14:textId="2856DD48" w:rsidR="0025127A" w:rsidRPr="004D1057" w:rsidRDefault="00FC6ABD" w:rsidP="00E42474">
      <w:pPr>
        <w:pStyle w:val="main"/>
        <w:rPr>
          <w:color w:val="FF0000"/>
          <w:u w:val="single"/>
        </w:rPr>
      </w:pPr>
      <w:r w:rsidRPr="004D1057">
        <w:rPr>
          <w:color w:val="FF0000"/>
          <w:u w:val="single"/>
        </w:rPr>
        <w:t>If the destination address in the MA-</w:t>
      </w:r>
      <w:proofErr w:type="spellStart"/>
      <w:r w:rsidRPr="004D1057">
        <w:rPr>
          <w:color w:val="FF0000"/>
          <w:u w:val="single"/>
        </w:rPr>
        <w:t>UNITDATA.request</w:t>
      </w:r>
      <w:proofErr w:type="spellEnd"/>
      <w:r w:rsidRPr="004D1057">
        <w:rPr>
          <w:color w:val="FF0000"/>
          <w:u w:val="single"/>
        </w:rPr>
        <w:t xml:space="preserve"> is an EBCS Content MAC address, MAC shall process the request </w:t>
      </w:r>
      <w:r w:rsidR="002B045E" w:rsidRPr="004D1057">
        <w:rPr>
          <w:color w:val="FF0000"/>
          <w:u w:val="single"/>
        </w:rPr>
        <w:t>as EBCS, otherwise MAC shall process the request as non-EBCS. For MA-</w:t>
      </w:r>
      <w:proofErr w:type="spellStart"/>
      <w:r w:rsidR="002B045E" w:rsidRPr="004D1057">
        <w:rPr>
          <w:color w:val="FF0000"/>
          <w:u w:val="single"/>
        </w:rPr>
        <w:t>UNITDATA.request</w:t>
      </w:r>
      <w:proofErr w:type="spellEnd"/>
      <w:r w:rsidR="002B045E" w:rsidRPr="004D1057">
        <w:rPr>
          <w:color w:val="FF0000"/>
          <w:u w:val="single"/>
        </w:rPr>
        <w:t xml:space="preserve"> for EBCS, MAC shall use one of the following three frame authentication mechanism according to the content ID that is encoded in the EBCS Content MAC address (11.55.1a (EBCS addressing)).</w:t>
      </w:r>
    </w:p>
    <w:p w14:paraId="2773E415" w14:textId="2401B3B3" w:rsidR="002B045E" w:rsidRDefault="002B045E" w:rsidP="00E42474">
      <w:pPr>
        <w:pStyle w:val="main"/>
      </w:pPr>
    </w:p>
    <w:p w14:paraId="2C8278B0" w14:textId="77777777" w:rsidR="002B045E" w:rsidRDefault="002B045E" w:rsidP="004D1057">
      <w:pPr>
        <w:pStyle w:val="main"/>
        <w:ind w:leftChars="236" w:left="707" w:hangingChars="67" w:hanging="141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245CD380" w14:textId="77777777" w:rsidR="002B045E" w:rsidRDefault="002B045E" w:rsidP="004D1057">
      <w:pPr>
        <w:pStyle w:val="main"/>
        <w:ind w:leftChars="236" w:left="707" w:hangingChars="67" w:hanging="141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7057AB19" w14:textId="71DD8D83" w:rsidR="002B045E" w:rsidRDefault="002B045E" w:rsidP="004D1057">
      <w:pPr>
        <w:pStyle w:val="main"/>
        <w:ind w:leftChars="236" w:left="707" w:hangingChars="67" w:hanging="14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 w:rsidR="004D1057">
        <w:rPr>
          <w:rFonts w:hint="eastAsia"/>
        </w:rPr>
        <w:t xml:space="preserve"> </w:t>
      </w:r>
      <w:r>
        <w:t>(HLSA)))</w:t>
      </w:r>
    </w:p>
    <w:p w14:paraId="6CEF470B" w14:textId="77777777" w:rsidR="002B045E" w:rsidRPr="0025127A" w:rsidRDefault="002B045E" w:rsidP="00E42474">
      <w:pPr>
        <w:pStyle w:val="main"/>
        <w:rPr>
          <w:rFonts w:hint="eastAsia"/>
        </w:rPr>
      </w:pPr>
    </w:p>
    <w:p w14:paraId="4BEA59E7" w14:textId="3BC0A6FC" w:rsidR="00A56E96" w:rsidRPr="00ED6E95" w:rsidRDefault="00AA53B7" w:rsidP="00A56E96">
      <w:pPr>
        <w:pStyle w:val="3"/>
      </w:pPr>
      <w:r>
        <w:t>12.14.2.3</w:t>
      </w:r>
      <w:r w:rsidR="00A56E96">
        <w:t xml:space="preserve"> </w:t>
      </w:r>
      <w:r>
        <w:t>PKFA MPDU format</w:t>
      </w:r>
    </w:p>
    <w:p w14:paraId="7887BD8B" w14:textId="681851D4" w:rsidR="00A56E96" w:rsidRDefault="00A56E96" w:rsidP="00A56E96">
      <w:pPr>
        <w:pStyle w:val="main"/>
      </w:pPr>
    </w:p>
    <w:p w14:paraId="258A86BF" w14:textId="281B4BD9" w:rsidR="00FE40AB" w:rsidRPr="00A26444" w:rsidRDefault="002C5AD6" w:rsidP="00FE40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Figure 12-55c as follows</w:t>
      </w:r>
      <w:r w:rsidR="00FE40AB" w:rsidRPr="00B46828">
        <w:rPr>
          <w:b/>
          <w:bCs/>
          <w:i/>
          <w:iCs/>
          <w:color w:val="FF0000"/>
          <w:highlight w:val="yellow"/>
        </w:rPr>
        <w:t>:</w:t>
      </w:r>
    </w:p>
    <w:p w14:paraId="08081B5E" w14:textId="76177412" w:rsidR="00FE40AB" w:rsidRDefault="00FE40AB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1008"/>
        <w:gridCol w:w="1008"/>
        <w:gridCol w:w="1255"/>
        <w:gridCol w:w="1162"/>
        <w:gridCol w:w="975"/>
        <w:gridCol w:w="954"/>
        <w:gridCol w:w="1115"/>
        <w:gridCol w:w="896"/>
      </w:tblGrid>
      <w:tr w:rsidR="00AA53B7" w:rsidRPr="000B1547" w14:paraId="3961BDD2" w14:textId="77777777" w:rsidTr="00EB224B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BB4F9F0" w14:textId="77777777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1D3" w14:textId="71FB9AE9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MAC Header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C3D" w14:textId="7F11818F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Content ID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28CF" w14:textId="3D84F761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Timestamp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CF7" w14:textId="32616750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Sequence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94F" w14:textId="3E6152A6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Length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E3C7" w14:textId="65EF3853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Data (PDU)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83B" w14:textId="30F227C8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Signature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F73" w14:textId="5F130858" w:rsidR="00AA53B7" w:rsidRPr="000B1547" w:rsidRDefault="00AA53B7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FCS</w:t>
            </w:r>
          </w:p>
        </w:tc>
      </w:tr>
      <w:tr w:rsidR="00AA53B7" w:rsidRPr="000B1547" w14:paraId="5C29C52D" w14:textId="77777777" w:rsidTr="00AA53B7">
        <w:tc>
          <w:tcPr>
            <w:tcW w:w="1038" w:type="dxa"/>
          </w:tcPr>
          <w:p w14:paraId="75BC029E" w14:textId="7C01FC16" w:rsidR="00AA53B7" w:rsidRPr="000B1547" w:rsidRDefault="00AA53B7" w:rsidP="00AA53B7">
            <w:pPr>
              <w:pStyle w:val="main"/>
              <w:jc w:val="right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Octets: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BD65BA" w14:textId="7349731F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variable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F47401" w14:textId="63D25349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112FF43" w14:textId="6A526724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0B1547">
              <w:rPr>
                <w:rFonts w:ascii="Arial" w:hAnsi="Arial" w:cs="Arial"/>
                <w:strike/>
                <w:color w:val="FF0000"/>
              </w:rPr>
              <w:t>7</w:t>
            </w:r>
            <w:r w:rsidR="000B1547" w:rsidRPr="000B1547">
              <w:rPr>
                <w:rFonts w:ascii="Arial" w:hAnsi="Arial" w:cs="Arial"/>
                <w:color w:val="FF0000"/>
                <w:u w:val="single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0D79052" w14:textId="138075EB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C8719B" w14:textId="423877B0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CBB1CA7" w14:textId="4E7D5EE0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&gt;=1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147083C" w14:textId="7E87A4EA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variable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D13D045" w14:textId="34CE9E9E" w:rsidR="00AA53B7" w:rsidRPr="000B1547" w:rsidRDefault="00AA53B7" w:rsidP="000B1547">
            <w:pPr>
              <w:pStyle w:val="main"/>
              <w:jc w:val="center"/>
              <w:rPr>
                <w:rFonts w:ascii="Arial" w:hAnsi="Arial" w:cs="Arial"/>
              </w:rPr>
            </w:pPr>
            <w:r w:rsidRPr="000B1547">
              <w:rPr>
                <w:rFonts w:ascii="Arial" w:hAnsi="Arial" w:cs="Arial"/>
              </w:rPr>
              <w:t>4</w:t>
            </w:r>
          </w:p>
        </w:tc>
      </w:tr>
    </w:tbl>
    <w:p w14:paraId="7CCCD76A" w14:textId="02583772" w:rsidR="00AA53B7" w:rsidRDefault="00AA53B7" w:rsidP="00A56E96">
      <w:pPr>
        <w:pStyle w:val="main"/>
      </w:pPr>
    </w:p>
    <w:p w14:paraId="0D53C637" w14:textId="3E9EA584" w:rsidR="002C5AD6" w:rsidRPr="002C5AD6" w:rsidRDefault="002C5AD6" w:rsidP="002C5AD6">
      <w:pPr>
        <w:pStyle w:val="main"/>
        <w:jc w:val="center"/>
        <w:rPr>
          <w:rFonts w:ascii="Arial" w:hAnsi="Arial" w:cs="Arial"/>
          <w:b/>
          <w:bCs/>
        </w:rPr>
      </w:pPr>
      <w:r w:rsidRPr="002C5AD6">
        <w:rPr>
          <w:rFonts w:ascii="Arial" w:hAnsi="Arial" w:cs="Arial"/>
          <w:b/>
          <w:bCs/>
        </w:rPr>
        <w:lastRenderedPageBreak/>
        <w:t>Figure 12-55c---PKFA MPDU format</w:t>
      </w:r>
    </w:p>
    <w:p w14:paraId="19DB987F" w14:textId="77777777" w:rsidR="002C5AD6" w:rsidRDefault="002C5AD6" w:rsidP="00A56E96">
      <w:pPr>
        <w:pStyle w:val="main"/>
      </w:pPr>
    </w:p>
    <w:p w14:paraId="2D881271" w14:textId="6D862DFF" w:rsidR="002C5AD6" w:rsidRPr="00A26444" w:rsidRDefault="002C5AD6" w:rsidP="002C5AD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line at P86L46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58384913" w14:textId="77777777" w:rsidR="002C5AD6" w:rsidRDefault="002C5AD6" w:rsidP="002C5AD6">
      <w:pPr>
        <w:pStyle w:val="main"/>
      </w:pPr>
    </w:p>
    <w:p w14:paraId="5D970E50" w14:textId="2B2EAFD4" w:rsidR="00AA53B7" w:rsidRPr="002C5AD6" w:rsidRDefault="002C5AD6" w:rsidP="00A56E96">
      <w:pPr>
        <w:pStyle w:val="main"/>
        <w:rPr>
          <w:strike/>
          <w:color w:val="FF0000"/>
        </w:rPr>
      </w:pPr>
      <w:r w:rsidRPr="002C5AD6">
        <w:rPr>
          <w:strike/>
          <w:color w:val="FF0000"/>
        </w:rPr>
        <w:t>The Content ID field contains the content ID of the EBCS traffic stream.</w:t>
      </w:r>
    </w:p>
    <w:p w14:paraId="17E034F6" w14:textId="0F5C7C1D" w:rsidR="00AA53B7" w:rsidRDefault="00AA53B7" w:rsidP="00A56E96">
      <w:pPr>
        <w:pStyle w:val="main"/>
      </w:pPr>
    </w:p>
    <w:p w14:paraId="73DA0D1F" w14:textId="45B6EB61" w:rsidR="002C5AD6" w:rsidRPr="00A26444" w:rsidRDefault="002C5AD6" w:rsidP="002C5AD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line at P86L63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0F364990" w14:textId="77777777" w:rsidR="002C5AD6" w:rsidRDefault="002C5AD6" w:rsidP="002C5AD6">
      <w:pPr>
        <w:pStyle w:val="main"/>
      </w:pPr>
    </w:p>
    <w:p w14:paraId="4E83A582" w14:textId="77777777" w:rsidR="002C5AD6" w:rsidRDefault="002C5AD6" w:rsidP="002C5AD6">
      <w:pPr>
        <w:pStyle w:val="main"/>
      </w:pPr>
      <w:r>
        <w:t>Signature = Sign (transmitter’s private key, transmitter’s MAC address || PKFA MPDU fields from the</w:t>
      </w:r>
    </w:p>
    <w:p w14:paraId="6A122798" w14:textId="72DE252D" w:rsidR="00AA53B7" w:rsidRPr="002C5AD6" w:rsidRDefault="002C5AD6" w:rsidP="002C5AD6">
      <w:pPr>
        <w:pStyle w:val="main"/>
        <w:ind w:firstLine="720"/>
      </w:pPr>
      <w:r w:rsidRPr="002C5AD6">
        <w:rPr>
          <w:strike/>
          <w:color w:val="FF0000"/>
        </w:rPr>
        <w:t>Content ID</w:t>
      </w:r>
      <w:r>
        <w:t xml:space="preserve"> </w:t>
      </w:r>
      <w:r w:rsidRPr="002C5AD6">
        <w:rPr>
          <w:color w:val="FF0000"/>
          <w:u w:val="single"/>
        </w:rPr>
        <w:t>Timestamp</w:t>
      </w:r>
      <w:r>
        <w:t xml:space="preserve"> field to the end of the Data (PDU) field)</w:t>
      </w:r>
    </w:p>
    <w:p w14:paraId="0C36A77E" w14:textId="3BC70604" w:rsidR="00AA53B7" w:rsidRDefault="00AA53B7" w:rsidP="00A56E96">
      <w:pPr>
        <w:pStyle w:val="main"/>
      </w:pPr>
    </w:p>
    <w:p w14:paraId="5D3EA543" w14:textId="77777777" w:rsidR="00602536" w:rsidRDefault="00602536" w:rsidP="00A56E96">
      <w:pPr>
        <w:pStyle w:val="main"/>
      </w:pPr>
    </w:p>
    <w:p w14:paraId="54B48C7B" w14:textId="0C88342E" w:rsidR="00EB224B" w:rsidRPr="00ED6E95" w:rsidRDefault="00EB224B" w:rsidP="00EB224B">
      <w:pPr>
        <w:pStyle w:val="3"/>
      </w:pPr>
      <w:r>
        <w:t>12.14.3.3 HCFA MPDU generation</w:t>
      </w:r>
    </w:p>
    <w:p w14:paraId="2D521AE6" w14:textId="41DEC052" w:rsidR="00AA53B7" w:rsidRDefault="00AA53B7" w:rsidP="00A56E96">
      <w:pPr>
        <w:pStyle w:val="main"/>
      </w:pPr>
    </w:p>
    <w:p w14:paraId="417367A3" w14:textId="702F303B" w:rsidR="00CE16E4" w:rsidRPr="00A26444" w:rsidRDefault="00CE16E4" w:rsidP="00CE16E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Figure 12-55i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1984F0AB" w14:textId="20FD669E" w:rsidR="00AA53B7" w:rsidRPr="00CE16E4" w:rsidRDefault="00AA53B7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B224B" w:rsidRPr="00EB224B" w14:paraId="0F213CA1" w14:textId="77777777" w:rsidTr="007D412B">
        <w:tc>
          <w:tcPr>
            <w:tcW w:w="1335" w:type="dxa"/>
            <w:tcBorders>
              <w:right w:val="single" w:sz="4" w:space="0" w:color="auto"/>
            </w:tcBorders>
          </w:tcPr>
          <w:p w14:paraId="4325ED5A" w14:textId="77777777" w:rsidR="00EB224B" w:rsidRPr="00EB224B" w:rsidRDefault="00EB224B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F89" w14:textId="7E7E10B3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MAC Header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AC70" w14:textId="3A0C1F8C" w:rsidR="00EB224B" w:rsidRPr="007D412B" w:rsidRDefault="00EB224B" w:rsidP="007D412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Content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4471" w14:textId="66E6CE27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Timestamp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146" w14:textId="53869BCB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HCFA Sequence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C8B" w14:textId="4BBB2358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Key Sequence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2D6" w14:textId="3DF36077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Sequence</w:t>
            </w:r>
          </w:p>
        </w:tc>
      </w:tr>
      <w:tr w:rsidR="00EB224B" w:rsidRPr="00EB224B" w14:paraId="1858E055" w14:textId="77777777" w:rsidTr="00EB224B">
        <w:tc>
          <w:tcPr>
            <w:tcW w:w="1335" w:type="dxa"/>
          </w:tcPr>
          <w:p w14:paraId="091F9AA6" w14:textId="6FD61652" w:rsidR="00EB224B" w:rsidRPr="00EB224B" w:rsidRDefault="00EB224B" w:rsidP="00EB224B">
            <w:pPr>
              <w:pStyle w:val="main"/>
              <w:jc w:val="right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C7C8196" w14:textId="4173EA95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F842291" w14:textId="16FB1CA4" w:rsidR="00EB224B" w:rsidRPr="007D412B" w:rsidRDefault="00EB224B" w:rsidP="00EB224B">
            <w:pPr>
              <w:pStyle w:val="main"/>
              <w:jc w:val="center"/>
              <w:rPr>
                <w:rFonts w:ascii="Arial" w:hAnsi="Arial" w:cs="Arial"/>
                <w:strike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B2F1507" w14:textId="528896C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7D412B">
              <w:rPr>
                <w:rFonts w:ascii="Arial" w:hAnsi="Arial" w:cs="Arial"/>
                <w:strike/>
                <w:color w:val="FF0000"/>
              </w:rPr>
              <w:t>7</w:t>
            </w:r>
            <w:r w:rsidRPr="007D412B">
              <w:rPr>
                <w:rFonts w:ascii="Arial" w:hAnsi="Arial" w:cs="Arial"/>
                <w:color w:val="FF0000"/>
                <w:u w:val="single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8468D3B" w14:textId="5D0E1721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5A4C22F" w14:textId="009A32F8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CBA764A" w14:textId="36A20FB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2</w:t>
            </w:r>
          </w:p>
        </w:tc>
      </w:tr>
    </w:tbl>
    <w:p w14:paraId="34568B46" w14:textId="7729C807" w:rsidR="00CE16E4" w:rsidRDefault="00CE16E4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1289"/>
        <w:gridCol w:w="1284"/>
        <w:gridCol w:w="1316"/>
        <w:gridCol w:w="1454"/>
        <w:gridCol w:w="1454"/>
        <w:gridCol w:w="1268"/>
      </w:tblGrid>
      <w:tr w:rsidR="00EB224B" w:rsidRPr="00EB224B" w14:paraId="5EDC0D43" w14:textId="77777777" w:rsidTr="007D412B">
        <w:tc>
          <w:tcPr>
            <w:tcW w:w="1335" w:type="dxa"/>
            <w:tcBorders>
              <w:right w:val="single" w:sz="4" w:space="0" w:color="auto"/>
            </w:tcBorders>
          </w:tcPr>
          <w:p w14:paraId="65082B1B" w14:textId="77777777" w:rsidR="00EB224B" w:rsidRPr="00EB224B" w:rsidRDefault="00EB224B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C54" w14:textId="5925663B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D1C" w14:textId="01E111C0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Data (PDU)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6AA" w14:textId="6A8D4860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Disclosed Key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2EA" w14:textId="72250CCA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Instant Authenticator (optional)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CD4" w14:textId="1E2B59CE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HCFA Authenticator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11F" w14:textId="37A10C21" w:rsidR="00EB224B" w:rsidRPr="00EB224B" w:rsidRDefault="00EB224B" w:rsidP="007D412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FCS</w:t>
            </w:r>
          </w:p>
        </w:tc>
      </w:tr>
      <w:tr w:rsidR="00EB224B" w:rsidRPr="00EB224B" w14:paraId="5FA05820" w14:textId="77777777" w:rsidTr="00EB224B">
        <w:tc>
          <w:tcPr>
            <w:tcW w:w="1335" w:type="dxa"/>
          </w:tcPr>
          <w:p w14:paraId="3AF5BCB9" w14:textId="0323473F" w:rsidR="00EB224B" w:rsidRPr="00EB224B" w:rsidRDefault="00EB224B" w:rsidP="00EB224B">
            <w:pPr>
              <w:pStyle w:val="main"/>
              <w:jc w:val="right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55E8F1" w14:textId="02428F9F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AD60FF5" w14:textId="0249C0B4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&gt;=1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12F22DE" w14:textId="50625546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8596011" w14:textId="039C7EBD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7C70F3E" w14:textId="60811B53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AA0A32A" w14:textId="54021B17" w:rsidR="00EB224B" w:rsidRPr="00EB224B" w:rsidRDefault="00EB224B" w:rsidP="00EB224B">
            <w:pPr>
              <w:pStyle w:val="main"/>
              <w:jc w:val="center"/>
              <w:rPr>
                <w:rFonts w:ascii="Arial" w:hAnsi="Arial" w:cs="Arial"/>
              </w:rPr>
            </w:pPr>
            <w:r w:rsidRPr="00EB224B">
              <w:rPr>
                <w:rFonts w:ascii="Arial" w:hAnsi="Arial" w:cs="Arial"/>
              </w:rPr>
              <w:t>4</w:t>
            </w:r>
          </w:p>
        </w:tc>
      </w:tr>
    </w:tbl>
    <w:p w14:paraId="18EBBF50" w14:textId="271722D3" w:rsidR="00CE16E4" w:rsidRDefault="00CE16E4" w:rsidP="00A56E96">
      <w:pPr>
        <w:pStyle w:val="main"/>
      </w:pPr>
    </w:p>
    <w:p w14:paraId="6C41E43B" w14:textId="58D4AE4A" w:rsidR="007D412B" w:rsidRPr="002C5AD6" w:rsidRDefault="007D412B" w:rsidP="007D412B">
      <w:pPr>
        <w:pStyle w:val="main"/>
        <w:jc w:val="center"/>
        <w:rPr>
          <w:rFonts w:ascii="Arial" w:hAnsi="Arial" w:cs="Arial"/>
          <w:b/>
          <w:bCs/>
        </w:rPr>
      </w:pPr>
      <w:r w:rsidRPr="002C5AD6">
        <w:rPr>
          <w:rFonts w:ascii="Arial" w:hAnsi="Arial" w:cs="Arial"/>
          <w:b/>
          <w:bCs/>
        </w:rPr>
        <w:t>Figure 12-55</w:t>
      </w:r>
      <w:r>
        <w:rPr>
          <w:rFonts w:ascii="Arial" w:hAnsi="Arial" w:cs="Arial"/>
          <w:b/>
          <w:bCs/>
        </w:rPr>
        <w:t>i</w:t>
      </w:r>
      <w:r w:rsidRPr="002C5AD6">
        <w:rPr>
          <w:rFonts w:ascii="Arial" w:hAnsi="Arial" w:cs="Arial"/>
          <w:b/>
          <w:bCs/>
        </w:rPr>
        <w:t>---</w:t>
      </w:r>
      <w:r>
        <w:rPr>
          <w:rFonts w:ascii="Arial" w:hAnsi="Arial" w:cs="Arial"/>
          <w:b/>
          <w:bCs/>
        </w:rPr>
        <w:t>HCF</w:t>
      </w:r>
      <w:r w:rsidRPr="002C5AD6">
        <w:rPr>
          <w:rFonts w:ascii="Arial" w:hAnsi="Arial" w:cs="Arial"/>
          <w:b/>
          <w:bCs/>
        </w:rPr>
        <w:t>A MPDU format</w:t>
      </w:r>
    </w:p>
    <w:p w14:paraId="3D9FCC6C" w14:textId="367227EC" w:rsidR="00CE16E4" w:rsidRDefault="00CE16E4" w:rsidP="00A56E96">
      <w:pPr>
        <w:pStyle w:val="main"/>
      </w:pPr>
    </w:p>
    <w:p w14:paraId="4ECB3655" w14:textId="4180BAF2" w:rsidR="007D412B" w:rsidRPr="00A26444" w:rsidRDefault="007D412B" w:rsidP="007D412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line at P93L20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64F031A5" w14:textId="77777777" w:rsidR="007D412B" w:rsidRDefault="007D412B" w:rsidP="007D412B">
      <w:pPr>
        <w:pStyle w:val="main"/>
      </w:pPr>
    </w:p>
    <w:p w14:paraId="6DAD6DD1" w14:textId="77777777" w:rsidR="007D412B" w:rsidRPr="002C5AD6" w:rsidRDefault="007D412B" w:rsidP="007D412B">
      <w:pPr>
        <w:pStyle w:val="main"/>
        <w:rPr>
          <w:strike/>
          <w:color w:val="FF0000"/>
        </w:rPr>
      </w:pPr>
      <w:r w:rsidRPr="002C5AD6">
        <w:rPr>
          <w:strike/>
          <w:color w:val="FF0000"/>
        </w:rPr>
        <w:t>The Content ID field contains the content ID of the EBCS traffic stream.</w:t>
      </w:r>
    </w:p>
    <w:p w14:paraId="315AD3D4" w14:textId="51D36215" w:rsidR="007D412B" w:rsidRDefault="007D412B" w:rsidP="007D412B">
      <w:pPr>
        <w:pStyle w:val="main"/>
      </w:pPr>
    </w:p>
    <w:p w14:paraId="3566974C" w14:textId="77777777" w:rsidR="00602536" w:rsidRDefault="00602536" w:rsidP="007D412B">
      <w:pPr>
        <w:pStyle w:val="main"/>
      </w:pPr>
    </w:p>
    <w:p w14:paraId="6CB2E716" w14:textId="185435CA" w:rsidR="001716E7" w:rsidRPr="00ED6E95" w:rsidRDefault="001716E7" w:rsidP="001716E7">
      <w:pPr>
        <w:pStyle w:val="3"/>
      </w:pPr>
      <w:r>
        <w:t>12.14.4.1 General</w:t>
      </w:r>
    </w:p>
    <w:p w14:paraId="3469144B" w14:textId="3E3C51B8" w:rsidR="001716E7" w:rsidRDefault="001716E7" w:rsidP="00A56E96">
      <w:pPr>
        <w:pStyle w:val="main"/>
      </w:pPr>
    </w:p>
    <w:p w14:paraId="336309AF" w14:textId="376C3F47" w:rsidR="001716E7" w:rsidRPr="00A26444" w:rsidRDefault="001716E7" w:rsidP="001716E7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subclause 12.14.4.2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2B17DCD5" w14:textId="77777777" w:rsidR="001716E7" w:rsidRPr="007D412B" w:rsidRDefault="001716E7" w:rsidP="00A56E96">
      <w:pPr>
        <w:pStyle w:val="main"/>
      </w:pPr>
    </w:p>
    <w:p w14:paraId="71A04026" w14:textId="2E3E8E3C" w:rsidR="001716E7" w:rsidRPr="009E2749" w:rsidRDefault="001716E7" w:rsidP="001716E7">
      <w:pPr>
        <w:pStyle w:val="3"/>
        <w:rPr>
          <w:strike/>
          <w:color w:val="FF0000"/>
        </w:rPr>
      </w:pPr>
      <w:r w:rsidRPr="009E2749">
        <w:rPr>
          <w:strike/>
          <w:color w:val="FF0000"/>
        </w:rPr>
        <w:t>12.14.4.2 HCFA MPDU generation</w:t>
      </w: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D5ACCBE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 xml:space="preserve">March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>
        <w:t>42</w:t>
      </w:r>
      <w:r w:rsidR="00AA53B7">
        <w:t>5</w:t>
      </w:r>
      <w:r w:rsidR="00CA7A89">
        <w:t>r</w:t>
      </w:r>
      <w:r w:rsidR="0062151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27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A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045E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1057"/>
    <w:rsid w:val="004D7939"/>
    <w:rsid w:val="004E22C9"/>
    <w:rsid w:val="004F065B"/>
    <w:rsid w:val="004F388C"/>
    <w:rsid w:val="005011D9"/>
    <w:rsid w:val="00502205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44D6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151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2528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0F05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1FA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4CD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C6ABD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15</TotalTime>
  <Pages>3</Pages>
  <Words>643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4082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5</cp:revision>
  <cp:lastPrinted>1899-12-31T15:00:00Z</cp:lastPrinted>
  <dcterms:created xsi:type="dcterms:W3CDTF">2022-03-08T13:21:00Z</dcterms:created>
  <dcterms:modified xsi:type="dcterms:W3CDTF">2022-03-08T13:58:00Z</dcterms:modified>
  <cp:category/>
</cp:coreProperties>
</file>