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51484A0" w:rsidR="00CA09B2" w:rsidRDefault="001668A6" w:rsidP="00DE720B">
            <w:pPr>
              <w:pStyle w:val="T2"/>
            </w:pPr>
            <w:r>
              <w:t>“</w:t>
            </w:r>
            <w:r w:rsidR="00253704">
              <w:t xml:space="preserve">TGme Resolution to </w:t>
            </w:r>
            <w:r w:rsidR="00677609">
              <w:t xml:space="preserve">CIDs </w:t>
            </w:r>
            <w:r w:rsidR="00DE720B">
              <w:t>1125, 1126 on Spatial Reuse</w:t>
            </w:r>
            <w:r>
              <w:t>”</w:t>
            </w:r>
            <w:r w:rsidR="00385BD3">
              <w:t xml:space="preserve"> </w:t>
            </w:r>
          </w:p>
        </w:tc>
      </w:tr>
      <w:tr w:rsidR="00CA09B2" w14:paraId="02966D81" w14:textId="77777777">
        <w:trPr>
          <w:trHeight w:val="359"/>
          <w:jc w:val="center"/>
        </w:trPr>
        <w:tc>
          <w:tcPr>
            <w:tcW w:w="9576" w:type="dxa"/>
            <w:gridSpan w:val="5"/>
            <w:vAlign w:val="center"/>
          </w:tcPr>
          <w:p w14:paraId="286D4255" w14:textId="1FCA6189" w:rsidR="00CA09B2" w:rsidRDefault="00CA09B2" w:rsidP="00B71EFF">
            <w:pPr>
              <w:pStyle w:val="T2"/>
              <w:ind w:left="0"/>
              <w:rPr>
                <w:sz w:val="20"/>
              </w:rPr>
            </w:pPr>
            <w:r>
              <w:rPr>
                <w:sz w:val="20"/>
              </w:rPr>
              <w:t>Date:</w:t>
            </w:r>
            <w:r>
              <w:rPr>
                <w:b w:val="0"/>
                <w:sz w:val="20"/>
              </w:rPr>
              <w:t xml:space="preserve">  </w:t>
            </w:r>
            <w:r w:rsidR="00803866">
              <w:rPr>
                <w:b w:val="0"/>
                <w:sz w:val="20"/>
              </w:rPr>
              <w:t>2021-</w:t>
            </w:r>
            <w:r w:rsidR="00A458E4">
              <w:rPr>
                <w:b w:val="0"/>
                <w:sz w:val="20"/>
              </w:rPr>
              <w:t>1</w:t>
            </w:r>
            <w:r w:rsidR="00B71EFF">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665D08" w14:paraId="0A167056" w14:textId="77777777" w:rsidTr="00D34FB6">
        <w:trPr>
          <w:jc w:val="center"/>
        </w:trPr>
        <w:tc>
          <w:tcPr>
            <w:tcW w:w="1668" w:type="dxa"/>
            <w:vAlign w:val="center"/>
          </w:tcPr>
          <w:p w14:paraId="43F48E74" w14:textId="734D2863" w:rsidR="00665D08" w:rsidRDefault="00665D08" w:rsidP="00665D08">
            <w:pPr>
              <w:pStyle w:val="T2"/>
              <w:spacing w:after="0"/>
              <w:ind w:left="0" w:right="0"/>
              <w:rPr>
                <w:b w:val="0"/>
                <w:sz w:val="20"/>
              </w:rPr>
            </w:pPr>
          </w:p>
        </w:tc>
        <w:tc>
          <w:tcPr>
            <w:tcW w:w="2126" w:type="dxa"/>
            <w:vAlign w:val="center"/>
          </w:tcPr>
          <w:p w14:paraId="1809CF49" w14:textId="3D43F650" w:rsidR="00665D08" w:rsidRDefault="00665D08" w:rsidP="00665D08">
            <w:pPr>
              <w:pStyle w:val="T2"/>
              <w:spacing w:after="0"/>
              <w:ind w:left="0" w:right="0"/>
              <w:rPr>
                <w:b w:val="0"/>
                <w:sz w:val="20"/>
              </w:rPr>
            </w:pPr>
          </w:p>
        </w:tc>
        <w:tc>
          <w:tcPr>
            <w:tcW w:w="2420" w:type="dxa"/>
          </w:tcPr>
          <w:p w14:paraId="4B61E083" w14:textId="1C2B1EA9" w:rsidR="00665D08" w:rsidRPr="00665D08" w:rsidRDefault="00665D08" w:rsidP="00665D08">
            <w:pPr>
              <w:pStyle w:val="T2"/>
              <w:spacing w:after="0"/>
              <w:ind w:left="0" w:right="0"/>
              <w:rPr>
                <w:b w:val="0"/>
                <w:sz w:val="20"/>
              </w:rPr>
            </w:pPr>
          </w:p>
        </w:tc>
        <w:tc>
          <w:tcPr>
            <w:tcW w:w="1715" w:type="dxa"/>
          </w:tcPr>
          <w:p w14:paraId="04EED5E3" w14:textId="39917465" w:rsidR="00665D08" w:rsidRPr="00665D08" w:rsidRDefault="00665D08" w:rsidP="00665D08">
            <w:pPr>
              <w:pStyle w:val="T2"/>
              <w:spacing w:after="0"/>
              <w:ind w:left="0" w:right="0"/>
              <w:rPr>
                <w:b w:val="0"/>
                <w:sz w:val="20"/>
              </w:rPr>
            </w:pPr>
          </w:p>
        </w:tc>
        <w:tc>
          <w:tcPr>
            <w:tcW w:w="1647" w:type="dxa"/>
            <w:vAlign w:val="center"/>
          </w:tcPr>
          <w:p w14:paraId="59902634" w14:textId="18E58E51" w:rsidR="00665D08" w:rsidRDefault="00665D08" w:rsidP="00665D08">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4A4999" w:rsidRDefault="004A4999">
                            <w:pPr>
                              <w:pStyle w:val="T1"/>
                              <w:spacing w:after="120"/>
                            </w:pPr>
                            <w:r>
                              <w:t>Abstract</w:t>
                            </w:r>
                          </w:p>
                          <w:p w14:paraId="10F5EAD8" w14:textId="45FA4F5C" w:rsidR="004A4999" w:rsidRDefault="004A4999">
                            <w:pPr>
                              <w:pStyle w:val="T1"/>
                              <w:spacing w:after="120"/>
                            </w:pPr>
                          </w:p>
                          <w:p w14:paraId="68AB9DA5" w14:textId="17434822" w:rsidR="004A4999" w:rsidRDefault="004A4999" w:rsidP="00116D28">
                            <w:pPr>
                              <w:pStyle w:val="T1"/>
                              <w:spacing w:after="120"/>
                              <w:jc w:val="left"/>
                              <w:rPr>
                                <w:b w:val="0"/>
                              </w:rPr>
                            </w:pPr>
                            <w:r>
                              <w:rPr>
                                <w:b w:val="0"/>
                              </w:rPr>
                              <w:t>Resolution of CIDs 1125 and 1126</w:t>
                            </w:r>
                          </w:p>
                          <w:p w14:paraId="2E800D6E" w14:textId="0B23A2DC" w:rsidR="004A4999" w:rsidRPr="00116D28" w:rsidRDefault="004A4999" w:rsidP="00116D28">
                            <w:pPr>
                              <w:pStyle w:val="T1"/>
                              <w:spacing w:after="120"/>
                              <w:jc w:val="left"/>
                              <w:rPr>
                                <w:b w:val="0"/>
                              </w:rPr>
                            </w:pPr>
                            <w:r>
                              <w:rPr>
                                <w:b w:val="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4A4999" w:rsidRDefault="004A4999">
                      <w:pPr>
                        <w:pStyle w:val="T1"/>
                        <w:spacing w:after="120"/>
                      </w:pPr>
                      <w:r>
                        <w:t>Abstract</w:t>
                      </w:r>
                    </w:p>
                    <w:p w14:paraId="10F5EAD8" w14:textId="45FA4F5C" w:rsidR="004A4999" w:rsidRDefault="004A4999">
                      <w:pPr>
                        <w:pStyle w:val="T1"/>
                        <w:spacing w:after="120"/>
                      </w:pPr>
                    </w:p>
                    <w:p w14:paraId="68AB9DA5" w14:textId="17434822" w:rsidR="004A4999" w:rsidRDefault="004A4999" w:rsidP="00116D28">
                      <w:pPr>
                        <w:pStyle w:val="T1"/>
                        <w:spacing w:after="120"/>
                        <w:jc w:val="left"/>
                        <w:rPr>
                          <w:b w:val="0"/>
                        </w:rPr>
                      </w:pPr>
                      <w:r>
                        <w:rPr>
                          <w:b w:val="0"/>
                        </w:rPr>
                        <w:t>Resolution of CIDs 1125 and 1126</w:t>
                      </w:r>
                    </w:p>
                    <w:p w14:paraId="2E800D6E" w14:textId="0B23A2DC" w:rsidR="004A4999" w:rsidRPr="00116D28" w:rsidRDefault="004A4999" w:rsidP="00116D28">
                      <w:pPr>
                        <w:pStyle w:val="T1"/>
                        <w:spacing w:after="120"/>
                        <w:jc w:val="left"/>
                        <w:rPr>
                          <w:b w:val="0"/>
                        </w:rPr>
                      </w:pPr>
                      <w:r>
                        <w:rPr>
                          <w:b w:val="0"/>
                        </w:rPr>
                        <w:tab/>
                      </w:r>
                    </w:p>
                  </w:txbxContent>
                </v:textbox>
              </v:shape>
            </w:pict>
          </mc:Fallback>
        </mc:AlternateContent>
      </w:r>
    </w:p>
    <w:p w14:paraId="15426AD0" w14:textId="77777777" w:rsidR="00DE720B" w:rsidRDefault="00CA09B2">
      <w:r>
        <w:br w:type="page"/>
      </w:r>
    </w:p>
    <w:p w14:paraId="4EFE3FB5" w14:textId="3C04110F" w:rsidR="00947C44" w:rsidRPr="00947C44" w:rsidRDefault="00947C44">
      <w:pPr>
        <w:rPr>
          <w:b/>
        </w:rPr>
      </w:pPr>
      <w:r w:rsidRPr="00947C44">
        <w:rPr>
          <w:b/>
        </w:rPr>
        <w:lastRenderedPageBreak/>
        <w:t>CID 1125, Clause 26.2.3 P4127.14</w:t>
      </w:r>
    </w:p>
    <w:p w14:paraId="030F39A1" w14:textId="658F27A3" w:rsidR="00947C44" w:rsidRDefault="00947C44"/>
    <w:p w14:paraId="3FF07CD8" w14:textId="1E4F27A4" w:rsidR="00947C44" w:rsidRPr="00947C44" w:rsidRDefault="00947C44">
      <w:pPr>
        <w:rPr>
          <w:u w:val="single"/>
        </w:rPr>
      </w:pPr>
      <w:r w:rsidRPr="00947C44">
        <w:rPr>
          <w:u w:val="single"/>
        </w:rPr>
        <w:t>Comment</w:t>
      </w:r>
    </w:p>
    <w:p w14:paraId="2DE2677C" w14:textId="77777777" w:rsidR="00947C44" w:rsidRDefault="00947C44">
      <w:r w:rsidRPr="00947C44">
        <w:t xml:space="preserve">This clause deals with the identification of an SRG PPDU.  It appears that an SRG PPDU is also an inter-BSS PPDU but it seems to be describing that not all inter-BSS PPDUs and SRG PPDUs.  But we also read that "An HE AP that has not transmitted a Spatial Reuse Parameter Set element with a value of 1 in the SRG Information Present subfield may classify received PPDUs as SRG PPDUs using information that it has not transmitted" (4127.60).                                      </w:t>
      </w:r>
    </w:p>
    <w:p w14:paraId="5AD32A2F" w14:textId="5887B28F" w:rsidR="00947C44" w:rsidRDefault="00947C44">
      <w:r w:rsidRPr="00947C44">
        <w:t>At this point one wonders what is different about an SRG PPDU and an inter-BSS PP</w:t>
      </w:r>
      <w:r>
        <w:t xml:space="preserve">DU.  The only result, I think, </w:t>
      </w:r>
      <w:r w:rsidRPr="00947C44">
        <w:t>is whether the SRG PD level ot the non-SRG PD level may be used.  Furthermore</w:t>
      </w:r>
      <w:r>
        <w:t>,</w:t>
      </w:r>
      <w:r w:rsidRPr="00947C44">
        <w:t xml:space="preserve"> there is no description that I can find where how STAs make any decisions as to who is in the secret club (the SRG) or why.  There is no reasoning provided as to why the differentiation.  I would love to see some explaination(s) as to how this SRG is worth all the extra effort above inter-BSS and how STAs or APs decide or what criteria they could use to know if placing these STAs in an SRG really helps with spatial reuse above the "simple" color idea for inter-BSS.</w:t>
      </w:r>
    </w:p>
    <w:p w14:paraId="2DE5170E" w14:textId="60C5A2FC" w:rsidR="00947C44" w:rsidRDefault="00947C44"/>
    <w:p w14:paraId="190A9A28" w14:textId="73239AE1" w:rsidR="00947C44" w:rsidRPr="00947C44" w:rsidRDefault="00947C44">
      <w:pPr>
        <w:rPr>
          <w:u w:val="single"/>
        </w:rPr>
      </w:pPr>
      <w:r w:rsidRPr="00947C44">
        <w:rPr>
          <w:u w:val="single"/>
        </w:rPr>
        <w:t>Proposed Change</w:t>
      </w:r>
    </w:p>
    <w:p w14:paraId="37F9B04F" w14:textId="18200010" w:rsidR="00947C44" w:rsidRDefault="00947C44">
      <w:r w:rsidRPr="00947C44">
        <w:t>As it says in the comment.  What</w:t>
      </w:r>
      <w:r>
        <w:t xml:space="preserve"> is magic about the SRG and who</w:t>
      </w:r>
      <w:r w:rsidRPr="00947C44">
        <w:t xml:space="preserve"> decides who maybe or is in the club?  There is nothing here that would encourage any STA to implement this. Either add some text that clearly explains how the SRGs are formed, and how this is better than inter-BSS.</w:t>
      </w:r>
    </w:p>
    <w:p w14:paraId="1EAF304B" w14:textId="7FDCB84B" w:rsidR="00947C44" w:rsidRDefault="00947C44"/>
    <w:p w14:paraId="797BCAF1" w14:textId="5A4EEBDF" w:rsidR="00947C44" w:rsidRPr="00947C44" w:rsidRDefault="00947C44">
      <w:pPr>
        <w:rPr>
          <w:b/>
        </w:rPr>
      </w:pPr>
      <w:r w:rsidRPr="00947C44">
        <w:rPr>
          <w:b/>
        </w:rPr>
        <w:t>CID 1126, Clause 26.10.2.4 P4235.1</w:t>
      </w:r>
    </w:p>
    <w:p w14:paraId="20BBB097" w14:textId="6065B3D6" w:rsidR="00947C44" w:rsidRDefault="00947C44"/>
    <w:p w14:paraId="38B10610" w14:textId="44D90BCF" w:rsidR="00947C44" w:rsidRPr="00947C44" w:rsidRDefault="00947C44">
      <w:pPr>
        <w:rPr>
          <w:u w:val="single"/>
        </w:rPr>
      </w:pPr>
      <w:r w:rsidRPr="00947C44">
        <w:rPr>
          <w:u w:val="single"/>
        </w:rPr>
        <w:t>Comment</w:t>
      </w:r>
    </w:p>
    <w:p w14:paraId="605E4411" w14:textId="77777777" w:rsidR="00947C44" w:rsidRDefault="00947C44">
      <w:r w:rsidRPr="00947C44">
        <w:t xml:space="preserve">"If using OBSS PD-based spatial reuse, an HE STA shall maintain an OBSS PD level and may adjust this OBSS PD level in conjunction with its transmit power and a value, PPDU_BW, derived from the received PPDU. The adjustment shall be made in accordance with Equation (26-5)."          </w:t>
      </w:r>
    </w:p>
    <w:p w14:paraId="40810718" w14:textId="77777777" w:rsidR="00947C44" w:rsidRDefault="00947C44"/>
    <w:p w14:paraId="110DD5BC" w14:textId="1E47B896" w:rsidR="00947C44" w:rsidRDefault="00947C44">
      <w:r w:rsidRPr="00947C44">
        <w:t xml:space="preserve"> If an HE STA did this, then it is instantly at a disadvantage to any other non HE STA, let alone HE STAs not doing it.  Dropping the TX power means that the chance of the packet being received over an OBSS packet is reduced.  Also dropping the TX power drops the received signal strength, not a good idea when the purpose is to use higher data rates.   What is needed is a scheme that is not dependent upon every STA in the area to be an HE STA (even if this was a good idea given that situation).  Several analyses have shown that this is a bad idea and in all probability it will not be used.  The usual answer is that it improves "fairness", but it does so to the detriment of the STA that is doing it.     </w:t>
      </w:r>
    </w:p>
    <w:p w14:paraId="7529F2C6" w14:textId="77777777" w:rsidR="00947C44" w:rsidRDefault="00947C44"/>
    <w:p w14:paraId="6798284E" w14:textId="64888DCD" w:rsidR="00947C44" w:rsidRPr="00947C44" w:rsidRDefault="00947C44">
      <w:pPr>
        <w:rPr>
          <w:u w:val="single"/>
        </w:rPr>
      </w:pPr>
      <w:r w:rsidRPr="00947C44">
        <w:rPr>
          <w:u w:val="single"/>
        </w:rPr>
        <w:t>Proposed Change</w:t>
      </w:r>
    </w:p>
    <w:p w14:paraId="46136049" w14:textId="77777777" w:rsidR="00947C44" w:rsidRDefault="00947C44">
      <w:r w:rsidRPr="00947C44">
        <w:t xml:space="preserve">Delete this TX power link.  Better still take the entire HE Spatial reuse section out of the Standard and form a separate TG to do it properly.     </w:t>
      </w:r>
    </w:p>
    <w:p w14:paraId="4BE1BF75" w14:textId="07B3889F" w:rsidR="00947C44" w:rsidRDefault="00947C44">
      <w:r>
        <w:br w:type="page"/>
      </w:r>
    </w:p>
    <w:p w14:paraId="0D8CF649" w14:textId="3722F1CC" w:rsidR="00947C44" w:rsidRPr="00A34626" w:rsidRDefault="00947C44">
      <w:pPr>
        <w:rPr>
          <w:b/>
          <w:u w:val="single"/>
        </w:rPr>
      </w:pPr>
      <w:r w:rsidRPr="00A34626">
        <w:rPr>
          <w:b/>
          <w:u w:val="single"/>
        </w:rPr>
        <w:lastRenderedPageBreak/>
        <w:t>Discussion</w:t>
      </w:r>
    </w:p>
    <w:p w14:paraId="52A2FAD2" w14:textId="1BA7ABEC" w:rsidR="00947C44" w:rsidRDefault="00947C44"/>
    <w:p w14:paraId="051C8848" w14:textId="78135B55" w:rsidR="00022183" w:rsidRPr="00022183" w:rsidRDefault="00022183">
      <w:pPr>
        <w:rPr>
          <w:b/>
        </w:rPr>
      </w:pPr>
      <w:r w:rsidRPr="00022183">
        <w:rPr>
          <w:b/>
        </w:rPr>
        <w:t>CID 1125</w:t>
      </w:r>
    </w:p>
    <w:p w14:paraId="005E5A3D" w14:textId="2DA6A364" w:rsidR="00A34626" w:rsidRPr="00E57CD7" w:rsidRDefault="00A34626">
      <w:pPr>
        <w:rPr>
          <w:i/>
        </w:rPr>
      </w:pPr>
      <w:r w:rsidRPr="00E57CD7">
        <w:rPr>
          <w:i/>
          <w:sz w:val="24"/>
          <w:szCs w:val="24"/>
          <w:u w:val="single"/>
          <w:lang w:val="en-US" w:eastAsia="ja-JP"/>
        </w:rPr>
        <w:t xml:space="preserve">“The formation of SRGs is out of the amendment's scope.” </w:t>
      </w:r>
    </w:p>
    <w:p w14:paraId="314300C3" w14:textId="6A845AFC" w:rsidR="00A34626" w:rsidRPr="00E57CD7" w:rsidRDefault="00A34626">
      <w:pPr>
        <w:rPr>
          <w:i/>
        </w:rPr>
      </w:pPr>
    </w:p>
    <w:p w14:paraId="72A35AC6" w14:textId="6688A75F" w:rsidR="00A34626" w:rsidRPr="00E57CD7" w:rsidRDefault="00A34626">
      <w:pPr>
        <w:rPr>
          <w:i/>
          <w:sz w:val="24"/>
          <w:szCs w:val="24"/>
          <w:u w:val="single"/>
          <w:lang w:val="en-US" w:eastAsia="ja-JP"/>
        </w:rPr>
      </w:pPr>
      <w:r w:rsidRPr="00E57CD7">
        <w:rPr>
          <w:i/>
          <w:sz w:val="24"/>
          <w:szCs w:val="24"/>
          <w:lang w:val="en-US" w:eastAsia="ja-JP"/>
        </w:rPr>
        <w:t xml:space="preserve">“…more aggressive channel access policies can be used for transmissions within the same SRG, in case that the nodes of the same SRG </w:t>
      </w:r>
      <w:r w:rsidRPr="00E57CD7">
        <w:rPr>
          <w:i/>
          <w:sz w:val="24"/>
          <w:szCs w:val="24"/>
          <w:u w:val="single"/>
          <w:lang w:val="en-US" w:eastAsia="ja-JP"/>
        </w:rPr>
        <w:t>could support higher levels of interference</w:t>
      </w:r>
      <w:r w:rsidRPr="00E57CD7">
        <w:rPr>
          <w:i/>
          <w:sz w:val="24"/>
          <w:szCs w:val="24"/>
          <w:lang w:val="en-US" w:eastAsia="ja-JP"/>
        </w:rPr>
        <w:t xml:space="preserve">. </w:t>
      </w:r>
      <w:r w:rsidRPr="00E57CD7">
        <w:rPr>
          <w:i/>
          <w:sz w:val="24"/>
          <w:szCs w:val="24"/>
          <w:u w:val="single"/>
          <w:lang w:val="en-US" w:eastAsia="ja-JP"/>
        </w:rPr>
        <w:t>Alternatively, it could be the other way around.”</w:t>
      </w:r>
      <w:r w:rsidR="00022183" w:rsidRPr="00E57CD7">
        <w:rPr>
          <w:i/>
          <w:sz w:val="24"/>
          <w:szCs w:val="24"/>
          <w:u w:val="single"/>
          <w:lang w:val="en-US" w:eastAsia="ja-JP"/>
        </w:rPr>
        <w:t>*</w:t>
      </w:r>
    </w:p>
    <w:p w14:paraId="4FD7A7A5" w14:textId="2A198169" w:rsidR="00A34626" w:rsidRDefault="00A34626">
      <w:pPr>
        <w:rPr>
          <w:sz w:val="24"/>
          <w:szCs w:val="24"/>
          <w:u w:val="single"/>
          <w:lang w:val="en-US" w:eastAsia="ja-JP"/>
        </w:rPr>
      </w:pPr>
    </w:p>
    <w:p w14:paraId="70FBDDA5" w14:textId="091DD72A" w:rsidR="006C1C7A" w:rsidRDefault="006C1C7A"/>
    <w:p w14:paraId="12EFA293" w14:textId="5ED56778" w:rsidR="006C1C7A" w:rsidRPr="00D3106C" w:rsidRDefault="00E57CD7">
      <w:pPr>
        <w:rPr>
          <w:sz w:val="24"/>
        </w:rPr>
      </w:pPr>
      <w:r>
        <w:rPr>
          <w:sz w:val="24"/>
        </w:rPr>
        <w:t>T</w:t>
      </w:r>
      <w:r w:rsidR="00A34626" w:rsidRPr="00D3106C">
        <w:rPr>
          <w:sz w:val="24"/>
        </w:rPr>
        <w:t>he observation in CID 1125 is valid</w:t>
      </w:r>
      <w:r>
        <w:rPr>
          <w:sz w:val="24"/>
        </w:rPr>
        <w:t xml:space="preserve"> in that h</w:t>
      </w:r>
      <w:r w:rsidR="00A34626" w:rsidRPr="00D3106C">
        <w:rPr>
          <w:sz w:val="24"/>
        </w:rPr>
        <w:t xml:space="preserve">ow to implement SRG is a mystery and left </w:t>
      </w:r>
      <w:r w:rsidR="001A31B6" w:rsidRPr="00D3106C">
        <w:rPr>
          <w:sz w:val="24"/>
        </w:rPr>
        <w:t>open, so how interoperability or f</w:t>
      </w:r>
      <w:r w:rsidR="00022183" w:rsidRPr="00D3106C">
        <w:rPr>
          <w:sz w:val="24"/>
        </w:rPr>
        <w:t>ai</w:t>
      </w:r>
      <w:r w:rsidR="001A31B6" w:rsidRPr="00D3106C">
        <w:rPr>
          <w:sz w:val="24"/>
        </w:rPr>
        <w:t>rnesss can be assessed is a</w:t>
      </w:r>
      <w:r w:rsidR="00022183" w:rsidRPr="00D3106C">
        <w:rPr>
          <w:sz w:val="24"/>
        </w:rPr>
        <w:t>ls</w:t>
      </w:r>
      <w:r w:rsidR="001A31B6" w:rsidRPr="00D3106C">
        <w:rPr>
          <w:sz w:val="24"/>
        </w:rPr>
        <w:t>o a mystery.</w:t>
      </w:r>
      <w:r w:rsidR="00A34626" w:rsidRPr="00D3106C">
        <w:rPr>
          <w:sz w:val="24"/>
        </w:rPr>
        <w:t xml:space="preserve"> </w:t>
      </w:r>
      <w:r w:rsidR="00022183" w:rsidRPr="00D3106C">
        <w:rPr>
          <w:sz w:val="24"/>
        </w:rPr>
        <w:t xml:space="preserve"> </w:t>
      </w:r>
    </w:p>
    <w:p w14:paraId="7D668DEF" w14:textId="77777777" w:rsidR="00221A17" w:rsidRDefault="00221A17"/>
    <w:p w14:paraId="2B8E104E" w14:textId="363D8D1E" w:rsidR="006C1C7A" w:rsidRPr="00022183" w:rsidRDefault="00022183">
      <w:pPr>
        <w:rPr>
          <w:b/>
        </w:rPr>
      </w:pPr>
      <w:r w:rsidRPr="00022183">
        <w:rPr>
          <w:b/>
        </w:rPr>
        <w:t>CID 1126</w:t>
      </w:r>
    </w:p>
    <w:p w14:paraId="725B9A6D" w14:textId="6F1E2018" w:rsidR="00022183" w:rsidRPr="00E57CD7" w:rsidRDefault="00022183">
      <w:pPr>
        <w:rPr>
          <w:b/>
          <w:i/>
          <w:sz w:val="24"/>
          <w:szCs w:val="24"/>
          <w:u w:val="single"/>
          <w:lang w:val="en-US" w:eastAsia="ja-JP"/>
        </w:rPr>
      </w:pPr>
      <w:r w:rsidRPr="00E57CD7">
        <w:rPr>
          <w:i/>
          <w:sz w:val="24"/>
          <w:szCs w:val="24"/>
          <w:lang w:val="en-US" w:eastAsia="ja-JP"/>
        </w:rPr>
        <w:t xml:space="preserve">“The SR operation has been introduced as a mechanism to increase the number of transmissions held in an OBSS, and thus spectral effciency. </w:t>
      </w:r>
      <w:r w:rsidRPr="00E57CD7">
        <w:rPr>
          <w:b/>
          <w:i/>
          <w:sz w:val="24"/>
          <w:szCs w:val="24"/>
          <w:u w:val="single"/>
          <w:lang w:val="en-US" w:eastAsia="ja-JP"/>
        </w:rPr>
        <w:t>Nevertheless, little is known about the actual potential of SR”*</w:t>
      </w:r>
    </w:p>
    <w:p w14:paraId="71C23B3E" w14:textId="5357D883" w:rsidR="00022183" w:rsidRPr="00E57CD7" w:rsidRDefault="00022183">
      <w:pPr>
        <w:rPr>
          <w:i/>
          <w:sz w:val="24"/>
          <w:szCs w:val="24"/>
          <w:lang w:val="en-US" w:eastAsia="ja-JP"/>
        </w:rPr>
      </w:pPr>
    </w:p>
    <w:p w14:paraId="6C19EDBB" w14:textId="29AB3EA3" w:rsidR="00022183" w:rsidRPr="00E57CD7" w:rsidRDefault="00022183">
      <w:pPr>
        <w:rPr>
          <w:i/>
          <w:sz w:val="24"/>
          <w:szCs w:val="24"/>
          <w:lang w:val="en-US" w:eastAsia="ja-JP"/>
        </w:rPr>
      </w:pPr>
      <w:r w:rsidRPr="00E57CD7">
        <w:rPr>
          <w:bCs/>
          <w:i/>
          <w:sz w:val="24"/>
          <w:szCs w:val="24"/>
          <w:lang w:eastAsia="ja-JP"/>
        </w:rPr>
        <w:t xml:space="preserve">“If a node reduces its transmission power by applying the TPC, that will promote the neighboring transmissions because they are no more bothered by the transmissions of that node. Consequently, the other nodes will benefit directly and </w:t>
      </w:r>
      <w:r w:rsidRPr="00E57CD7">
        <w:rPr>
          <w:bCs/>
          <w:i/>
          <w:sz w:val="24"/>
          <w:szCs w:val="24"/>
          <w:u w:val="single"/>
          <w:lang w:eastAsia="ja-JP"/>
        </w:rPr>
        <w:t>not the node that applied the TPC.”**</w:t>
      </w:r>
    </w:p>
    <w:p w14:paraId="2A75DB5A" w14:textId="50C366DD" w:rsidR="00022183" w:rsidRPr="00022183" w:rsidRDefault="00022183">
      <w:pPr>
        <w:rPr>
          <w:sz w:val="24"/>
          <w:szCs w:val="24"/>
          <w:lang w:val="en-US" w:eastAsia="ja-JP"/>
        </w:rPr>
      </w:pPr>
    </w:p>
    <w:p w14:paraId="734DFF74" w14:textId="65167E04" w:rsidR="00022183" w:rsidRDefault="00D3106C">
      <w:pPr>
        <w:rPr>
          <w:sz w:val="24"/>
          <w:szCs w:val="24"/>
          <w:lang w:val="en-US" w:eastAsia="ja-JP"/>
        </w:rPr>
      </w:pPr>
      <w:r>
        <w:rPr>
          <w:sz w:val="24"/>
          <w:szCs w:val="24"/>
          <w:lang w:val="en-US" w:eastAsia="ja-JP"/>
        </w:rPr>
        <w:t xml:space="preserve">The use of TPC with the OBSS_PD seems a good idea until you consider legacy STAs, or HE STAs not doing it.  Similarly, there is no specified method of when and how to apply the thresholds.  Similar to SRG, the hooks are there but if implmentations simply do it differently, presumeably to favor themselves, no actual gain will result.  Hence, there is some validity to the Comment.  </w:t>
      </w:r>
    </w:p>
    <w:p w14:paraId="3791472E" w14:textId="58E26F4D" w:rsidR="00D3106C" w:rsidRDefault="00D3106C">
      <w:pPr>
        <w:rPr>
          <w:sz w:val="24"/>
          <w:szCs w:val="24"/>
          <w:lang w:val="en-US" w:eastAsia="ja-JP"/>
        </w:rPr>
      </w:pPr>
    </w:p>
    <w:p w14:paraId="01D4BB29" w14:textId="3AE1906D" w:rsidR="00D3106C" w:rsidRDefault="00D3106C">
      <w:pPr>
        <w:rPr>
          <w:sz w:val="24"/>
          <w:szCs w:val="24"/>
          <w:lang w:val="en-US" w:eastAsia="ja-JP"/>
        </w:rPr>
      </w:pPr>
    </w:p>
    <w:p w14:paraId="7A6E8235" w14:textId="513FB03C" w:rsidR="00D3106C" w:rsidRDefault="00D3106C">
      <w:pPr>
        <w:rPr>
          <w:sz w:val="24"/>
          <w:szCs w:val="24"/>
          <w:lang w:val="en-US" w:eastAsia="ja-JP"/>
        </w:rPr>
      </w:pPr>
    </w:p>
    <w:p w14:paraId="1358D38D" w14:textId="269EA9EA" w:rsidR="00D3106C" w:rsidRPr="004A4999" w:rsidRDefault="00D3106C">
      <w:pPr>
        <w:rPr>
          <w:b/>
          <w:sz w:val="24"/>
          <w:szCs w:val="24"/>
          <w:lang w:val="en-US" w:eastAsia="ja-JP"/>
        </w:rPr>
      </w:pPr>
      <w:r w:rsidRPr="004A4999">
        <w:rPr>
          <w:b/>
          <w:sz w:val="24"/>
          <w:szCs w:val="24"/>
          <w:lang w:val="en-US" w:eastAsia="ja-JP"/>
        </w:rPr>
        <w:t xml:space="preserve">Proposed Resolution discussion:  </w:t>
      </w:r>
    </w:p>
    <w:p w14:paraId="092EAC38" w14:textId="44E93F24" w:rsidR="004A4999" w:rsidRDefault="00D3106C">
      <w:pPr>
        <w:rPr>
          <w:sz w:val="24"/>
          <w:szCs w:val="24"/>
          <w:lang w:val="en-US" w:eastAsia="ja-JP"/>
        </w:rPr>
      </w:pPr>
      <w:r>
        <w:rPr>
          <w:sz w:val="24"/>
          <w:szCs w:val="24"/>
          <w:lang w:val="en-US" w:eastAsia="ja-JP"/>
        </w:rPr>
        <w:t xml:space="preserve">The proposed resolution is to reject both CIDs.  </w:t>
      </w:r>
      <w:r w:rsidR="004A4999">
        <w:rPr>
          <w:sz w:val="24"/>
          <w:szCs w:val="24"/>
          <w:lang w:val="en-US" w:eastAsia="ja-JP"/>
        </w:rPr>
        <w:t xml:space="preserve">The </w:t>
      </w:r>
      <w:r>
        <w:rPr>
          <w:sz w:val="24"/>
          <w:szCs w:val="24"/>
          <w:lang w:val="en-US" w:eastAsia="ja-JP"/>
        </w:rPr>
        <w:t xml:space="preserve">SR </w:t>
      </w:r>
      <w:r w:rsidR="004A4999">
        <w:rPr>
          <w:sz w:val="24"/>
          <w:szCs w:val="24"/>
          <w:lang w:val="en-US" w:eastAsia="ja-JP"/>
        </w:rPr>
        <w:t>clauses were passed with virtually no simulation support, however, they are there and experience has shown that no amount of cont</w:t>
      </w:r>
      <w:r w:rsidR="00E57CD7">
        <w:rPr>
          <w:sz w:val="24"/>
          <w:szCs w:val="24"/>
          <w:lang w:val="en-US" w:eastAsia="ja-JP"/>
        </w:rPr>
        <w:t>ra</w:t>
      </w:r>
      <w:r w:rsidR="004A4999">
        <w:rPr>
          <w:sz w:val="24"/>
          <w:szCs w:val="24"/>
          <w:lang w:val="en-US" w:eastAsia="ja-JP"/>
        </w:rPr>
        <w:t xml:space="preserve">dictory work or analysis will get it removed or changed.  </w:t>
      </w:r>
    </w:p>
    <w:p w14:paraId="200DDACB" w14:textId="39BED37B" w:rsidR="004A4999" w:rsidRDefault="004A4999">
      <w:pPr>
        <w:rPr>
          <w:sz w:val="24"/>
          <w:szCs w:val="24"/>
          <w:lang w:val="en-US" w:eastAsia="ja-JP"/>
        </w:rPr>
      </w:pPr>
      <w:r>
        <w:rPr>
          <w:sz w:val="24"/>
          <w:szCs w:val="24"/>
          <w:lang w:val="en-US" w:eastAsia="ja-JP"/>
        </w:rPr>
        <w:t xml:space="preserve">It </w:t>
      </w:r>
      <w:r w:rsidR="00E57CD7">
        <w:rPr>
          <w:sz w:val="24"/>
          <w:szCs w:val="24"/>
          <w:lang w:val="en-US" w:eastAsia="ja-JP"/>
        </w:rPr>
        <w:t>h</w:t>
      </w:r>
      <w:r>
        <w:rPr>
          <w:sz w:val="24"/>
          <w:szCs w:val="24"/>
          <w:lang w:val="en-US" w:eastAsia="ja-JP"/>
        </w:rPr>
        <w:t xml:space="preserve">as </w:t>
      </w:r>
      <w:r w:rsidR="00E57CD7">
        <w:rPr>
          <w:sz w:val="24"/>
          <w:szCs w:val="24"/>
          <w:lang w:val="en-US" w:eastAsia="ja-JP"/>
        </w:rPr>
        <w:t xml:space="preserve">been </w:t>
      </w:r>
      <w:r>
        <w:rPr>
          <w:sz w:val="24"/>
          <w:szCs w:val="24"/>
          <w:lang w:val="en-US" w:eastAsia="ja-JP"/>
        </w:rPr>
        <w:t xml:space="preserve">proposed that SR should be looked at anew and certainly there is a lot of academic work that has been carried out into the subject, most, if not all of which, declare that more work is needed.  </w:t>
      </w:r>
      <w:r w:rsidR="00E57CD7">
        <w:rPr>
          <w:sz w:val="24"/>
          <w:szCs w:val="24"/>
          <w:lang w:val="en-US" w:eastAsia="ja-JP"/>
        </w:rPr>
        <w:t>Not sure if there is the will to do it however.</w:t>
      </w:r>
    </w:p>
    <w:p w14:paraId="6C3B4B55" w14:textId="77777777" w:rsidR="004A4999" w:rsidRDefault="004A4999">
      <w:pPr>
        <w:rPr>
          <w:sz w:val="24"/>
          <w:szCs w:val="24"/>
          <w:lang w:val="en-US" w:eastAsia="ja-JP"/>
        </w:rPr>
      </w:pPr>
    </w:p>
    <w:p w14:paraId="34329E45" w14:textId="0E18E5F9" w:rsidR="00D3106C" w:rsidRDefault="00D3106C">
      <w:pPr>
        <w:rPr>
          <w:sz w:val="24"/>
          <w:szCs w:val="24"/>
          <w:lang w:val="en-US" w:eastAsia="ja-JP"/>
        </w:rPr>
      </w:pPr>
      <w:r>
        <w:rPr>
          <w:sz w:val="24"/>
          <w:szCs w:val="24"/>
          <w:lang w:val="en-US" w:eastAsia="ja-JP"/>
        </w:rPr>
        <w:t>____________________________________________________________________________</w:t>
      </w:r>
    </w:p>
    <w:p w14:paraId="1D58271F" w14:textId="14283773" w:rsidR="00022183" w:rsidRPr="00A34626" w:rsidRDefault="00022183" w:rsidP="00022183">
      <w:pPr>
        <w:rPr>
          <w:i/>
        </w:rPr>
      </w:pPr>
      <w:r>
        <w:rPr>
          <w:i/>
        </w:rPr>
        <w:t>*</w:t>
      </w:r>
      <w:r w:rsidRPr="00A34626">
        <w:rPr>
          <w:i/>
        </w:rPr>
        <w:t xml:space="preserve"> “Spatial Reuse in IEEE 802.11ax WLANs”, Wilhelmi, Munoz, Cano, Selinis Bellalta, wireless Netw</w:t>
      </w:r>
      <w:r w:rsidR="00D3106C">
        <w:rPr>
          <w:i/>
        </w:rPr>
        <w:t>or</w:t>
      </w:r>
      <w:r w:rsidRPr="00A34626">
        <w:rPr>
          <w:i/>
        </w:rPr>
        <w:t>ks Research Group, Barcelona, and Institute for Communications Systems, UK., March 3, 2021.)</w:t>
      </w:r>
    </w:p>
    <w:p w14:paraId="30203FCE" w14:textId="5BB72586" w:rsidR="00022183" w:rsidRDefault="00022183"/>
    <w:p w14:paraId="6C5D8057" w14:textId="2762A8D5" w:rsidR="00022183" w:rsidRPr="00022183" w:rsidRDefault="00022183" w:rsidP="00022183">
      <w:pPr>
        <w:autoSpaceDE w:val="0"/>
        <w:autoSpaceDN w:val="0"/>
        <w:adjustRightInd w:val="0"/>
        <w:rPr>
          <w:i/>
          <w:szCs w:val="22"/>
          <w:lang w:val="en-US" w:eastAsia="ja-JP"/>
        </w:rPr>
      </w:pPr>
      <w:r>
        <w:rPr>
          <w:i/>
          <w:szCs w:val="22"/>
          <w:lang w:val="en-US" w:eastAsia="ja-JP"/>
        </w:rPr>
        <w:t>**</w:t>
      </w:r>
      <w:r w:rsidRPr="00022183">
        <w:rPr>
          <w:i/>
          <w:szCs w:val="22"/>
          <w:lang w:val="en-US" w:eastAsia="ja-JP"/>
        </w:rPr>
        <w:t>Imad Jamil. Improving spatial reuse in future dense high efficiency Wireless Local Area Networks. Networking</w:t>
      </w:r>
    </w:p>
    <w:p w14:paraId="5A1172F4" w14:textId="77777777" w:rsidR="00022183" w:rsidRPr="00022183" w:rsidRDefault="00022183" w:rsidP="00022183">
      <w:pPr>
        <w:autoSpaceDE w:val="0"/>
        <w:autoSpaceDN w:val="0"/>
        <w:adjustRightInd w:val="0"/>
        <w:rPr>
          <w:i/>
          <w:szCs w:val="22"/>
          <w:lang w:val="en-US" w:eastAsia="ja-JP"/>
        </w:rPr>
      </w:pPr>
      <w:r w:rsidRPr="00022183">
        <w:rPr>
          <w:i/>
          <w:szCs w:val="22"/>
          <w:lang w:val="en-US" w:eastAsia="ja-JP"/>
        </w:rPr>
        <w:t>and Internet Architecture [cs.NI]. INSA de Rennes, 2015. English. &lt;NNT : 2015ISAR0033&gt;.</w:t>
      </w:r>
    </w:p>
    <w:p w14:paraId="1C2777B9" w14:textId="6A73E377" w:rsidR="00022183" w:rsidRPr="00022183" w:rsidRDefault="00022183" w:rsidP="00022183">
      <w:pPr>
        <w:rPr>
          <w:i/>
        </w:rPr>
      </w:pPr>
      <w:r w:rsidRPr="00022183">
        <w:rPr>
          <w:i/>
          <w:szCs w:val="22"/>
          <w:lang w:val="en-US" w:eastAsia="ja-JP"/>
        </w:rPr>
        <w:t>&lt;tel-01329810&gt;</w:t>
      </w:r>
    </w:p>
    <w:p w14:paraId="5D5D2E04" w14:textId="77777777" w:rsidR="00022183" w:rsidRDefault="00022183"/>
    <w:p w14:paraId="4F8D1439" w14:textId="59255386" w:rsidR="00D3106C" w:rsidRDefault="00D3106C">
      <w:pPr>
        <w:rPr>
          <w:sz w:val="24"/>
          <w:szCs w:val="24"/>
          <w:lang w:val="en-US" w:eastAsia="ja-JP"/>
        </w:rPr>
      </w:pPr>
      <w:r>
        <w:rPr>
          <w:sz w:val="24"/>
          <w:szCs w:val="24"/>
          <w:lang w:val="en-US" w:eastAsia="ja-JP"/>
        </w:rPr>
        <w:br w:type="page"/>
      </w:r>
    </w:p>
    <w:p w14:paraId="08022FD3" w14:textId="04B0225E" w:rsidR="00924B61" w:rsidRPr="00E57CD7" w:rsidRDefault="00D3106C" w:rsidP="00BA4D46">
      <w:pPr>
        <w:autoSpaceDE w:val="0"/>
        <w:autoSpaceDN w:val="0"/>
        <w:adjustRightInd w:val="0"/>
        <w:rPr>
          <w:b/>
          <w:sz w:val="24"/>
          <w:szCs w:val="24"/>
          <w:lang w:val="en-US" w:eastAsia="ja-JP"/>
        </w:rPr>
      </w:pPr>
      <w:r w:rsidRPr="00E57CD7">
        <w:rPr>
          <w:b/>
          <w:sz w:val="24"/>
          <w:szCs w:val="24"/>
          <w:lang w:val="en-US" w:eastAsia="ja-JP"/>
        </w:rPr>
        <w:lastRenderedPageBreak/>
        <w:t>Proposed Resolution</w:t>
      </w:r>
      <w:r w:rsidR="004A4999" w:rsidRPr="00E57CD7">
        <w:rPr>
          <w:b/>
          <w:sz w:val="24"/>
          <w:szCs w:val="24"/>
          <w:lang w:val="en-US" w:eastAsia="ja-JP"/>
        </w:rPr>
        <w:t xml:space="preserve"> for CIDs 1125 and 1126</w:t>
      </w:r>
    </w:p>
    <w:p w14:paraId="52F2FB7F" w14:textId="5A690D45" w:rsidR="00BA4D46" w:rsidRPr="00E57CD7" w:rsidRDefault="004A4999" w:rsidP="006C1C7A">
      <w:pPr>
        <w:autoSpaceDE w:val="0"/>
        <w:autoSpaceDN w:val="0"/>
        <w:adjustRightInd w:val="0"/>
        <w:rPr>
          <w:b/>
        </w:rPr>
      </w:pPr>
      <w:r w:rsidRPr="00E57CD7">
        <w:rPr>
          <w:b/>
        </w:rPr>
        <w:t>REJECT</w:t>
      </w:r>
    </w:p>
    <w:p w14:paraId="13271838" w14:textId="77777777" w:rsidR="005B4201" w:rsidRDefault="004A4999" w:rsidP="006C1C7A">
      <w:pPr>
        <w:autoSpaceDE w:val="0"/>
        <w:autoSpaceDN w:val="0"/>
        <w:adjustRightInd w:val="0"/>
      </w:pPr>
      <w:r>
        <w:t xml:space="preserve">Despite valid points being made in the comments, consensus will never be reached to remove or change the SR clauses significantly.  </w:t>
      </w:r>
    </w:p>
    <w:p w14:paraId="0B2EFD17" w14:textId="3F5DCD39" w:rsidR="004A4999" w:rsidRDefault="005B4201" w:rsidP="006C1C7A">
      <w:pPr>
        <w:autoSpaceDE w:val="0"/>
        <w:autoSpaceDN w:val="0"/>
        <w:adjustRightInd w:val="0"/>
      </w:pPr>
      <w:r>
        <w:t xml:space="preserve">Commentor did not provide sufficient information for the resolving of the CID.  </w:t>
      </w:r>
      <w:r w:rsidR="004A4999">
        <w:t>(</w:t>
      </w:r>
      <w:r>
        <w:t xml:space="preserve">i.e., </w:t>
      </w:r>
      <w:r w:rsidR="004A4999">
        <w:t>Commentor is not going to waste his time preparing more submissions over the ones written during 11ax and subsequently suppre</w:t>
      </w:r>
      <w:r>
        <w:t>s</w:t>
      </w:r>
      <w:r w:rsidR="004A4999">
        <w:t>sed)</w:t>
      </w:r>
      <w:r>
        <w:t>.</w:t>
      </w:r>
    </w:p>
    <w:p w14:paraId="14BB0D3C" w14:textId="77777777" w:rsidR="004A4999" w:rsidRPr="00BA4D46" w:rsidRDefault="004A4999" w:rsidP="006C1C7A">
      <w:pPr>
        <w:autoSpaceDE w:val="0"/>
        <w:autoSpaceDN w:val="0"/>
        <w:adjustRightInd w:val="0"/>
      </w:pPr>
    </w:p>
    <w:p w14:paraId="51970065" w14:textId="2BE5BFB2" w:rsidR="00947C44" w:rsidRDefault="00947C44"/>
    <w:sectPr w:rsidR="00947C44" w:rsidSect="00281FBF">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BEDB9" w14:textId="77777777" w:rsidR="00C0403D" w:rsidRDefault="00C0403D">
      <w:r>
        <w:separator/>
      </w:r>
    </w:p>
  </w:endnote>
  <w:endnote w:type="continuationSeparator" w:id="0">
    <w:p w14:paraId="707714DB" w14:textId="77777777" w:rsidR="00C0403D" w:rsidRDefault="00C0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874A" w14:textId="77777777" w:rsidR="00E57CD7" w:rsidRDefault="00E57C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7C2B3AE" w:rsidR="004A4999" w:rsidRDefault="00C0403D">
    <w:pPr>
      <w:pStyle w:val="Footer"/>
      <w:tabs>
        <w:tab w:val="clear" w:pos="6480"/>
        <w:tab w:val="center" w:pos="4680"/>
        <w:tab w:val="right" w:pos="9360"/>
      </w:tabs>
    </w:pPr>
    <w:r>
      <w:fldChar w:fldCharType="begin"/>
    </w:r>
    <w:r>
      <w:instrText xml:space="preserve"> SUBJECT  \* MERGEFORMAT </w:instrText>
    </w:r>
    <w:r>
      <w:fldChar w:fldCharType="separate"/>
    </w:r>
    <w:r w:rsidR="004A4999">
      <w:t>Submission</w:t>
    </w:r>
    <w:r>
      <w:fldChar w:fldCharType="end"/>
    </w:r>
    <w:r w:rsidR="004A4999">
      <w:tab/>
      <w:t xml:space="preserve">page </w:t>
    </w:r>
    <w:r w:rsidR="004A4999">
      <w:fldChar w:fldCharType="begin"/>
    </w:r>
    <w:r w:rsidR="004A4999">
      <w:instrText xml:space="preserve">page </w:instrText>
    </w:r>
    <w:r w:rsidR="004A4999">
      <w:fldChar w:fldCharType="separate"/>
    </w:r>
    <w:r w:rsidR="00006270">
      <w:rPr>
        <w:noProof/>
      </w:rPr>
      <w:t>1</w:t>
    </w:r>
    <w:r w:rsidR="004A4999">
      <w:rPr>
        <w:noProof/>
      </w:rPr>
      <w:fldChar w:fldCharType="end"/>
    </w:r>
    <w:r w:rsidR="004A4999">
      <w:tab/>
    </w:r>
    <w:r>
      <w:fldChar w:fldCharType="begin"/>
    </w:r>
    <w:r>
      <w:instrText xml:space="preserve"> COMMENTS  \* MERGEFORMAT </w:instrText>
    </w:r>
    <w:r>
      <w:fldChar w:fldCharType="separate"/>
    </w:r>
    <w:r w:rsidR="004A4999">
      <w:t>Graham SMIT</w:t>
    </w:r>
    <w:r>
      <w:fldChar w:fldCharType="end"/>
    </w:r>
    <w:r w:rsidR="004A4999">
      <w:t>H (SRT Wireless)</w:t>
    </w:r>
  </w:p>
  <w:p w14:paraId="5B8624E2" w14:textId="77777777" w:rsidR="004A4999" w:rsidRDefault="004A499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55CB" w14:textId="77777777" w:rsidR="00E57CD7" w:rsidRDefault="00E57C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BDDE" w14:textId="77777777" w:rsidR="00C0403D" w:rsidRDefault="00C0403D">
      <w:r>
        <w:separator/>
      </w:r>
    </w:p>
  </w:footnote>
  <w:footnote w:type="continuationSeparator" w:id="0">
    <w:p w14:paraId="446393A1" w14:textId="77777777" w:rsidR="00C0403D" w:rsidRDefault="00C040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E77A" w14:textId="77777777" w:rsidR="00E57CD7" w:rsidRDefault="00E57C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22F5EBA7" w:rsidR="004A4999" w:rsidRDefault="004A4999" w:rsidP="00E06DE9">
    <w:pPr>
      <w:pStyle w:val="Header"/>
      <w:tabs>
        <w:tab w:val="clear" w:pos="6480"/>
        <w:tab w:val="center" w:pos="4680"/>
        <w:tab w:val="right" w:pos="9360"/>
      </w:tabs>
    </w:pPr>
    <w:r>
      <w:t>Feb 2022</w:t>
    </w:r>
    <w:r>
      <w:tab/>
    </w:r>
    <w:r>
      <w:tab/>
      <w:t xml:space="preserve">   </w:t>
    </w:r>
    <w:r w:rsidR="00C0403D">
      <w:fldChar w:fldCharType="begin"/>
    </w:r>
    <w:r w:rsidR="00C0403D">
      <w:instrText xml:space="preserve"> TITLE  \* MERGEFORMAT </w:instrText>
    </w:r>
    <w:r w:rsidR="00C0403D">
      <w:fldChar w:fldCharType="separate"/>
    </w:r>
    <w:r>
      <w:t>doc.: IEEE 802.11-22/</w:t>
    </w:r>
    <w:r w:rsidR="00C0403D">
      <w:fldChar w:fldCharType="end"/>
    </w:r>
    <w:r w:rsidR="00E57CD7">
      <w:t>0374</w:t>
    </w:r>
    <w:bookmarkStart w:id="0" w:name="_GoBack"/>
    <w:bookmarkEnd w:id="0"/>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AEB5" w14:textId="77777777" w:rsidR="00E57CD7" w:rsidRDefault="00E57C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5F7A"/>
    <w:multiLevelType w:val="hybridMultilevel"/>
    <w:tmpl w:val="1D408BD0"/>
    <w:lvl w:ilvl="0" w:tplc="809E91A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4C5C"/>
    <w:multiLevelType w:val="hybridMultilevel"/>
    <w:tmpl w:val="699017CC"/>
    <w:lvl w:ilvl="0" w:tplc="1932E01A">
      <w:start w:val="10"/>
      <w:numFmt w:val="bullet"/>
      <w:lvlText w:val="-"/>
      <w:lvlJc w:val="left"/>
      <w:pPr>
        <w:ind w:left="360" w:hanging="360"/>
      </w:pPr>
      <w:rPr>
        <w:rFonts w:ascii="Times New Roman" w:eastAsia="TimesNew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6270"/>
    <w:rsid w:val="00007BFE"/>
    <w:rsid w:val="0001063E"/>
    <w:rsid w:val="0001097F"/>
    <w:rsid w:val="000111E6"/>
    <w:rsid w:val="000114C3"/>
    <w:rsid w:val="00011675"/>
    <w:rsid w:val="000120B6"/>
    <w:rsid w:val="00012507"/>
    <w:rsid w:val="00012885"/>
    <w:rsid w:val="00014121"/>
    <w:rsid w:val="00015353"/>
    <w:rsid w:val="00015AF3"/>
    <w:rsid w:val="00016F04"/>
    <w:rsid w:val="00020242"/>
    <w:rsid w:val="00020D5F"/>
    <w:rsid w:val="00022183"/>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5F6"/>
    <w:rsid w:val="00105DF1"/>
    <w:rsid w:val="00105EB4"/>
    <w:rsid w:val="00105F3F"/>
    <w:rsid w:val="00106140"/>
    <w:rsid w:val="00106D2E"/>
    <w:rsid w:val="001100BE"/>
    <w:rsid w:val="00111070"/>
    <w:rsid w:val="0011188F"/>
    <w:rsid w:val="00112C1A"/>
    <w:rsid w:val="00113029"/>
    <w:rsid w:val="001137FE"/>
    <w:rsid w:val="00113C6C"/>
    <w:rsid w:val="001166B8"/>
    <w:rsid w:val="001167A7"/>
    <w:rsid w:val="00116D28"/>
    <w:rsid w:val="001170EF"/>
    <w:rsid w:val="0011757A"/>
    <w:rsid w:val="0012072B"/>
    <w:rsid w:val="001214A4"/>
    <w:rsid w:val="00121C94"/>
    <w:rsid w:val="0012214E"/>
    <w:rsid w:val="0012217B"/>
    <w:rsid w:val="00122FB3"/>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0F1"/>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31B6"/>
    <w:rsid w:val="001A6081"/>
    <w:rsid w:val="001A64AD"/>
    <w:rsid w:val="001A6E00"/>
    <w:rsid w:val="001A6F4E"/>
    <w:rsid w:val="001A77B7"/>
    <w:rsid w:val="001A7EC2"/>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05A"/>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A"/>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1A17"/>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3E45"/>
    <w:rsid w:val="0026479A"/>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1FBF"/>
    <w:rsid w:val="002820CE"/>
    <w:rsid w:val="00283805"/>
    <w:rsid w:val="002850F5"/>
    <w:rsid w:val="00285119"/>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E49"/>
    <w:rsid w:val="002A3F23"/>
    <w:rsid w:val="002A4AF5"/>
    <w:rsid w:val="002A5845"/>
    <w:rsid w:val="002A64AB"/>
    <w:rsid w:val="002A690B"/>
    <w:rsid w:val="002A778A"/>
    <w:rsid w:val="002B0AF9"/>
    <w:rsid w:val="002B1C16"/>
    <w:rsid w:val="002B2F4D"/>
    <w:rsid w:val="002B4B3B"/>
    <w:rsid w:val="002B588E"/>
    <w:rsid w:val="002C0809"/>
    <w:rsid w:val="002C086C"/>
    <w:rsid w:val="002C1619"/>
    <w:rsid w:val="002C1646"/>
    <w:rsid w:val="002C1C40"/>
    <w:rsid w:val="002C1F67"/>
    <w:rsid w:val="002C20C9"/>
    <w:rsid w:val="002C220C"/>
    <w:rsid w:val="002C27F7"/>
    <w:rsid w:val="002C28D7"/>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5C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1DE2"/>
    <w:rsid w:val="00342441"/>
    <w:rsid w:val="00343D18"/>
    <w:rsid w:val="00346828"/>
    <w:rsid w:val="003507C5"/>
    <w:rsid w:val="00351C11"/>
    <w:rsid w:val="00352422"/>
    <w:rsid w:val="0035265F"/>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29C0"/>
    <w:rsid w:val="004445B7"/>
    <w:rsid w:val="004448F8"/>
    <w:rsid w:val="00446545"/>
    <w:rsid w:val="004470FA"/>
    <w:rsid w:val="004508D6"/>
    <w:rsid w:val="00450F4F"/>
    <w:rsid w:val="004511C7"/>
    <w:rsid w:val="004517B5"/>
    <w:rsid w:val="0045214A"/>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77B"/>
    <w:rsid w:val="004759E5"/>
    <w:rsid w:val="0047682B"/>
    <w:rsid w:val="00477843"/>
    <w:rsid w:val="00480551"/>
    <w:rsid w:val="0048074F"/>
    <w:rsid w:val="00481A27"/>
    <w:rsid w:val="00481EB5"/>
    <w:rsid w:val="00482476"/>
    <w:rsid w:val="00483ECF"/>
    <w:rsid w:val="004863B9"/>
    <w:rsid w:val="0048755B"/>
    <w:rsid w:val="0048783B"/>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4999"/>
    <w:rsid w:val="004A505D"/>
    <w:rsid w:val="004A5089"/>
    <w:rsid w:val="004A5556"/>
    <w:rsid w:val="004A6CE9"/>
    <w:rsid w:val="004A7A5B"/>
    <w:rsid w:val="004B064B"/>
    <w:rsid w:val="004B0889"/>
    <w:rsid w:val="004B1139"/>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56A5"/>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628"/>
    <w:rsid w:val="0053774D"/>
    <w:rsid w:val="00541C2D"/>
    <w:rsid w:val="00541C3A"/>
    <w:rsid w:val="0054245E"/>
    <w:rsid w:val="00542D89"/>
    <w:rsid w:val="00542F6A"/>
    <w:rsid w:val="0054378C"/>
    <w:rsid w:val="00543EAF"/>
    <w:rsid w:val="0054504D"/>
    <w:rsid w:val="00545EB2"/>
    <w:rsid w:val="0054733E"/>
    <w:rsid w:val="005473D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469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5CD0"/>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A65"/>
    <w:rsid w:val="005A604F"/>
    <w:rsid w:val="005B03D0"/>
    <w:rsid w:val="005B0B6E"/>
    <w:rsid w:val="005B1BCD"/>
    <w:rsid w:val="005B2A4E"/>
    <w:rsid w:val="005B390B"/>
    <w:rsid w:val="005B4201"/>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424"/>
    <w:rsid w:val="0065177F"/>
    <w:rsid w:val="006541DB"/>
    <w:rsid w:val="00654538"/>
    <w:rsid w:val="0065579B"/>
    <w:rsid w:val="0065586F"/>
    <w:rsid w:val="006565BB"/>
    <w:rsid w:val="00656ED6"/>
    <w:rsid w:val="00662059"/>
    <w:rsid w:val="0066224A"/>
    <w:rsid w:val="00662DB5"/>
    <w:rsid w:val="00663DF7"/>
    <w:rsid w:val="00663F12"/>
    <w:rsid w:val="00665D08"/>
    <w:rsid w:val="00666A07"/>
    <w:rsid w:val="00666DDA"/>
    <w:rsid w:val="00667D36"/>
    <w:rsid w:val="006705DF"/>
    <w:rsid w:val="00671329"/>
    <w:rsid w:val="00672620"/>
    <w:rsid w:val="00674F4E"/>
    <w:rsid w:val="006751FF"/>
    <w:rsid w:val="0067586E"/>
    <w:rsid w:val="006768FC"/>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1C7A"/>
    <w:rsid w:val="006C20C2"/>
    <w:rsid w:val="006C2FF5"/>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6C05"/>
    <w:rsid w:val="007470F2"/>
    <w:rsid w:val="007471BD"/>
    <w:rsid w:val="00747D1C"/>
    <w:rsid w:val="00750890"/>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55E"/>
    <w:rsid w:val="00794DCE"/>
    <w:rsid w:val="00795C65"/>
    <w:rsid w:val="007963AD"/>
    <w:rsid w:val="007A0F4C"/>
    <w:rsid w:val="007A1A00"/>
    <w:rsid w:val="007A29A7"/>
    <w:rsid w:val="007A339A"/>
    <w:rsid w:val="007A38EA"/>
    <w:rsid w:val="007A40CE"/>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2F7D"/>
    <w:rsid w:val="007C34ED"/>
    <w:rsid w:val="007C523C"/>
    <w:rsid w:val="007C561B"/>
    <w:rsid w:val="007C5878"/>
    <w:rsid w:val="007D03E1"/>
    <w:rsid w:val="007D13F2"/>
    <w:rsid w:val="007D28E2"/>
    <w:rsid w:val="007D2C82"/>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2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C7"/>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4B6B"/>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22"/>
    <w:rsid w:val="0091559D"/>
    <w:rsid w:val="009170F3"/>
    <w:rsid w:val="00917B11"/>
    <w:rsid w:val="009201CF"/>
    <w:rsid w:val="00920DF8"/>
    <w:rsid w:val="009211B2"/>
    <w:rsid w:val="00921781"/>
    <w:rsid w:val="00921A65"/>
    <w:rsid w:val="0092263A"/>
    <w:rsid w:val="00922B12"/>
    <w:rsid w:val="009246D6"/>
    <w:rsid w:val="00924B61"/>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47C44"/>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942"/>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4626"/>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7DB"/>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0B3"/>
    <w:rsid w:val="00AD0646"/>
    <w:rsid w:val="00AD13B3"/>
    <w:rsid w:val="00AD1BC5"/>
    <w:rsid w:val="00AD276B"/>
    <w:rsid w:val="00AD43AB"/>
    <w:rsid w:val="00AD4C7C"/>
    <w:rsid w:val="00AD5122"/>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0FA5"/>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1EFF"/>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589E"/>
    <w:rsid w:val="00B8712B"/>
    <w:rsid w:val="00B8762E"/>
    <w:rsid w:val="00B9068B"/>
    <w:rsid w:val="00B9133A"/>
    <w:rsid w:val="00B9145F"/>
    <w:rsid w:val="00B9154B"/>
    <w:rsid w:val="00B91ED6"/>
    <w:rsid w:val="00B921FA"/>
    <w:rsid w:val="00B92DB8"/>
    <w:rsid w:val="00B93960"/>
    <w:rsid w:val="00B93D2D"/>
    <w:rsid w:val="00B946CF"/>
    <w:rsid w:val="00B95072"/>
    <w:rsid w:val="00B951FB"/>
    <w:rsid w:val="00B97127"/>
    <w:rsid w:val="00B97D88"/>
    <w:rsid w:val="00BA1DA3"/>
    <w:rsid w:val="00BA3E02"/>
    <w:rsid w:val="00BA4D46"/>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0956"/>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4AD"/>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03D"/>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3F27"/>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2C6"/>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15BE"/>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3DE9"/>
    <w:rsid w:val="00D26F62"/>
    <w:rsid w:val="00D3106C"/>
    <w:rsid w:val="00D33902"/>
    <w:rsid w:val="00D3465B"/>
    <w:rsid w:val="00D34FB6"/>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667C"/>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2A85"/>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278B"/>
    <w:rsid w:val="00DE4167"/>
    <w:rsid w:val="00DE4DB6"/>
    <w:rsid w:val="00DE4EDB"/>
    <w:rsid w:val="00DE500F"/>
    <w:rsid w:val="00DE720B"/>
    <w:rsid w:val="00DE749C"/>
    <w:rsid w:val="00DE752D"/>
    <w:rsid w:val="00DE754E"/>
    <w:rsid w:val="00DE757C"/>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7CD7"/>
    <w:rsid w:val="00E6081E"/>
    <w:rsid w:val="00E61378"/>
    <w:rsid w:val="00E61848"/>
    <w:rsid w:val="00E6206F"/>
    <w:rsid w:val="00E6278E"/>
    <w:rsid w:val="00E63A82"/>
    <w:rsid w:val="00E63F01"/>
    <w:rsid w:val="00E64806"/>
    <w:rsid w:val="00E66FA0"/>
    <w:rsid w:val="00E6718E"/>
    <w:rsid w:val="00E7001F"/>
    <w:rsid w:val="00E710E3"/>
    <w:rsid w:val="00E71F7B"/>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97ED9"/>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073"/>
    <w:rsid w:val="00F0516A"/>
    <w:rsid w:val="00F063F7"/>
    <w:rsid w:val="00F06768"/>
    <w:rsid w:val="00F06E0A"/>
    <w:rsid w:val="00F101F1"/>
    <w:rsid w:val="00F12947"/>
    <w:rsid w:val="00F1367C"/>
    <w:rsid w:val="00F13F70"/>
    <w:rsid w:val="00F14A2D"/>
    <w:rsid w:val="00F15372"/>
    <w:rsid w:val="00F157ED"/>
    <w:rsid w:val="00F167DB"/>
    <w:rsid w:val="00F20232"/>
    <w:rsid w:val="00F23133"/>
    <w:rsid w:val="00F251B7"/>
    <w:rsid w:val="00F2692D"/>
    <w:rsid w:val="00F26B77"/>
    <w:rsid w:val="00F30DF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E21"/>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54E8"/>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5CF4"/>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A01B1389-6F00-4E83-80D4-B0886D45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183214">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06EEE-B7D0-44EE-B630-30BCA35B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dc:description/>
  <cp:lastModifiedBy>User</cp:lastModifiedBy>
  <cp:revision>2</cp:revision>
  <cp:lastPrinted>1901-01-01T05:00:00Z</cp:lastPrinted>
  <dcterms:created xsi:type="dcterms:W3CDTF">2022-02-23T20:38:00Z</dcterms:created>
  <dcterms:modified xsi:type="dcterms:W3CDTF">2022-02-23T20:38:00Z</dcterms:modified>
</cp:coreProperties>
</file>