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050A449D"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1F534F">
              <w:rPr>
                <w:b w:val="0"/>
                <w:sz w:val="20"/>
              </w:rPr>
              <w:t>07-13</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400A83" w:rsidRDefault="00400A83">
                            <w:pPr>
                              <w:pStyle w:val="T1"/>
                              <w:spacing w:after="120"/>
                            </w:pPr>
                            <w:r>
                              <w:t>Abstract</w:t>
                            </w:r>
                          </w:p>
                          <w:p w14:paraId="62DD9F26" w14:textId="675C6F11" w:rsidR="00400A83" w:rsidRDefault="00400A83"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400A83" w:rsidRDefault="00400A8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400A83" w:rsidRDefault="00400A83">
                      <w:pPr>
                        <w:pStyle w:val="T1"/>
                        <w:spacing w:after="120"/>
                      </w:pPr>
                      <w:r>
                        <w:t>Abstract</w:t>
                      </w:r>
                    </w:p>
                    <w:p w14:paraId="62DD9F26" w14:textId="675C6F11" w:rsidR="00400A83" w:rsidRDefault="00400A83"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400A83" w:rsidRDefault="00400A83">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83"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384"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F97EE5">
        <w:tc>
          <w:tcPr>
            <w:tcW w:w="1809"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83"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384"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(assoc rsp), 2782.45/52/56 (addba rsp), 5689.19 (addts rsp).</w:t>
      </w:r>
    </w:p>
    <w:p w14:paraId="23506894" w14:textId="77777777" w:rsidR="00000B84" w:rsidRDefault="00000B84" w:rsidP="00000B84"/>
    <w:p w14:paraId="5EC8CD35" w14:textId="77777777" w:rsidR="00000B84" w:rsidRDefault="00000B84" w:rsidP="00000B84">
      <w:r>
        <w:t>Change “result code” to “reason code” at 2776.65, 2777.2/8/10 (delts).</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 at 1051.11 change “Status code” to “Status Code” (auth).</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localMAC</w:t>
            </w:r>
            <w:r w:rsidRPr="008B7835">
              <w:br/>
              <w:t>-- The peerMAC</w:t>
            </w:r>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The peerMAC</w:t>
            </w:r>
            <w:r w:rsidRPr="008B7835">
              <w:br/>
              <w:t>-- The localMAC</w:t>
            </w:r>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The localMAC</w:t>
            </w:r>
            <w:r w:rsidRPr="008B7835">
              <w:br/>
              <w:t>-- The peerMAC</w:t>
            </w:r>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The peerMAC</w:t>
            </w:r>
            <w:r w:rsidRPr="008B7835">
              <w:br/>
              <w:t>-- The localMAC</w:t>
            </w:r>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"if"s and "otherwise"s and "if so"s and "if not"s are not clear.  Also, mixing shalls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If a password identifier is present and no password is associated with that identifier, BadID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If the group is not supported, BadGrp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If the group is supported, the protocol instance shall zero the Sc and Rc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(#595)increment Sc,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Status of</w:t>
      </w:r>
      <w:r w:rsidR="00766F75">
        <w:rPr>
          <w:u w:val="single"/>
        </w:rPr>
        <w:t>S</w:t>
      </w:r>
      <w:r w:rsidRPr="006A5833">
        <w:rPr>
          <w:u w:val="single"/>
        </w:rPr>
        <w:t>tatus code</w:t>
      </w:r>
      <w:r w:rsidR="00766F75">
        <w:rPr>
          <w:u w:val="single"/>
        </w:rPr>
        <w:t xml:space="preserve"> field</w:t>
      </w:r>
      <w:r w:rsidRPr="006A5833">
        <w:rPr>
          <w:u w:val="single"/>
        </w:rPr>
        <w:t xml:space="preserve"> in</w:t>
      </w:r>
      <w:r w:rsidRPr="006A5833">
        <w:t xml:space="preserve"> t</w:t>
      </w:r>
      <w:r>
        <w:t>he Authentication frame</w:t>
      </w:r>
      <w:r w:rsidRPr="006A5833">
        <w:rPr>
          <w:strike/>
        </w:rPr>
        <w:t>.</w:t>
      </w:r>
      <w:r w:rsidRPr="006A5833">
        <w:rPr>
          <w:u w:val="single"/>
        </w:rPr>
        <w:t>:</w:t>
      </w:r>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protocol instance</w:t>
      </w:r>
      <w:r w:rsidRPr="006A5833">
        <w:rPr>
          <w:strike/>
        </w:rPr>
        <w:t>frame</w:t>
      </w:r>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r w:rsidRPr="006A5833">
        <w:rPr>
          <w:strike/>
        </w:rPr>
        <w:t>so</w:t>
      </w:r>
      <w:r>
        <w:rPr>
          <w:u w:val="single"/>
        </w:rPr>
        <w:t>a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r w:rsidRPr="0003321C">
        <w:rPr>
          <w:i/>
        </w:rPr>
        <w:t>BadID</w:t>
      </w:r>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identifier</w:t>
      </w:r>
      <w:r w:rsidR="00005A10" w:rsidRPr="00005A10">
        <w:rPr>
          <w:u w:val="single"/>
        </w:rPr>
        <w:t>Otherwise</w:t>
      </w:r>
      <w:r w:rsidRPr="006A5833">
        <w:t xml:space="preserve">, </w:t>
      </w:r>
      <w:r w:rsidRPr="006A5833">
        <w:rPr>
          <w:strike/>
        </w:rPr>
        <w:t xml:space="preserve">the frame shall be processed by next checking </w:t>
      </w:r>
      <w:r w:rsidRPr="006A5833">
        <w:t xml:space="preserve">the </w:t>
      </w:r>
      <w:r w:rsidRPr="003851C4">
        <w:rPr>
          <w:strike/>
        </w:rPr>
        <w:t>f</w:t>
      </w:r>
      <w:r w:rsidR="003851C4" w:rsidRPr="003851C4">
        <w:rPr>
          <w:u w:val="single"/>
        </w:rPr>
        <w:t>F</w:t>
      </w:r>
      <w:r w:rsidRPr="006A5833">
        <w:t xml:space="preserve">inite </w:t>
      </w:r>
      <w:r w:rsidRPr="003851C4">
        <w:rPr>
          <w:strike/>
        </w:rPr>
        <w:t>c</w:t>
      </w:r>
      <w:r w:rsidR="003851C4" w:rsidRPr="003851C4">
        <w:rPr>
          <w:u w:val="single"/>
        </w:rPr>
        <w:t>C</w:t>
      </w:r>
      <w:r w:rsidRPr="006A5833">
        <w:t xml:space="preserve">yclic </w:t>
      </w:r>
      <w:r w:rsidRPr="003851C4">
        <w:rPr>
          <w:strike/>
        </w:rPr>
        <w:t>g</w:t>
      </w:r>
      <w:r w:rsidR="003851C4" w:rsidRPr="003851C4">
        <w:rPr>
          <w:u w:val="single"/>
        </w:rPr>
        <w:t>G</w:t>
      </w:r>
      <w:r w:rsidRPr="006A5833">
        <w:t>roup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is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r w:rsidRPr="0003321C">
        <w:rPr>
          <w:i/>
        </w:rPr>
        <w:t>BadGrp</w:t>
      </w:r>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r w:rsidR="003851C4" w:rsidRPr="003851C4">
        <w:rPr>
          <w:strike/>
        </w:rPr>
        <w:t>f</w:t>
      </w:r>
      <w:r w:rsidR="003851C4" w:rsidRPr="003851C4">
        <w:rPr>
          <w:u w:val="single"/>
        </w:rPr>
        <w:t>F</w:t>
      </w:r>
      <w:r w:rsidR="003851C4" w:rsidRPr="006A5833">
        <w:t xml:space="preserve">inite </w:t>
      </w:r>
      <w:r w:rsidR="003851C4" w:rsidRPr="003851C4">
        <w:rPr>
          <w:strike/>
        </w:rPr>
        <w:t>c</w:t>
      </w:r>
      <w:r w:rsidR="003851C4" w:rsidRPr="003851C4">
        <w:rPr>
          <w:u w:val="single"/>
        </w:rPr>
        <w:t>C</w:t>
      </w:r>
      <w:r w:rsidR="003851C4" w:rsidRPr="006A5833">
        <w:t xml:space="preserve">yclic </w:t>
      </w:r>
      <w:r w:rsidR="003851C4" w:rsidRPr="003851C4">
        <w:rPr>
          <w:strike/>
        </w:rPr>
        <w:t>g</w:t>
      </w:r>
      <w:r w:rsidR="003851C4" w:rsidRPr="003851C4">
        <w:rPr>
          <w:u w:val="single"/>
        </w:rPr>
        <w:t>G</w:t>
      </w:r>
      <w:r w:rsidR="003851C4" w:rsidRPr="006A5833">
        <w:t>roup</w:t>
      </w:r>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If the group is supported</w:t>
      </w:r>
      <w:r w:rsidR="00005A10" w:rsidRPr="00005A10">
        <w:rPr>
          <w:u w:val="single"/>
        </w:rPr>
        <w:t>Otherwise</w:t>
      </w:r>
      <w:r w:rsidRPr="006A5833">
        <w:t xml:space="preserve">, the protocol instance shall zero </w:t>
      </w:r>
      <w:r w:rsidRPr="00B63683">
        <w:rPr>
          <w:strike/>
        </w:rPr>
        <w:t xml:space="preserve">the </w:t>
      </w:r>
      <w:r w:rsidRPr="0003321C">
        <w:rPr>
          <w:i/>
        </w:rPr>
        <w:t>Sc</w:t>
      </w:r>
      <w:r w:rsidRPr="006A5833">
        <w:t xml:space="preserve"> and </w:t>
      </w:r>
      <w:r w:rsidRPr="0003321C">
        <w:rPr>
          <w:i/>
        </w:rPr>
        <w:t>Rc</w:t>
      </w:r>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r w:rsidRPr="006A5833">
        <w:rPr>
          <w:strike/>
        </w:rPr>
        <w:t>.</w:t>
      </w:r>
      <w:r w:rsidRPr="006A5833">
        <w:rPr>
          <w:u w:val="single"/>
        </w:rPr>
        <w:t>:</w:t>
      </w:r>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r w:rsidRPr="006A5833">
        <w:rPr>
          <w:strike/>
        </w:rPr>
        <w:t>;</w:t>
      </w:r>
      <w:r w:rsidRPr="006A5833">
        <w:rPr>
          <w:u w:val="single"/>
        </w:rPr>
        <w:t>.</w:t>
      </w:r>
    </w:p>
    <w:p w14:paraId="4C121561" w14:textId="585F1CA3" w:rsidR="006A5833" w:rsidRPr="006A5833" w:rsidRDefault="006A5833" w:rsidP="00267E64">
      <w:pPr>
        <w:pStyle w:val="ListParagraph"/>
        <w:numPr>
          <w:ilvl w:val="3"/>
          <w:numId w:val="1"/>
        </w:numPr>
      </w:pPr>
      <w:r w:rsidRPr="006A5833">
        <w:rPr>
          <w:strike/>
        </w:rPr>
        <w:t>o</w:t>
      </w:r>
      <w:r w:rsidRPr="006A5833">
        <w:rPr>
          <w:u w:val="single"/>
        </w:rPr>
        <w:t>O</w:t>
      </w:r>
      <w:r w:rsidRPr="006A5833">
        <w:t xml:space="preserve">therwise, </w:t>
      </w:r>
      <w:r w:rsidRPr="006A5833">
        <w:rPr>
          <w:strike/>
        </w:rPr>
        <w:t>it</w:t>
      </w:r>
      <w:r>
        <w:rPr>
          <w:u w:val="single"/>
        </w:rPr>
        <w:t>the protocol instance</w:t>
      </w:r>
      <w:r w:rsidRPr="006A5833">
        <w:t xml:space="preserve"> shall construct and transmit an SAE Commit message (see 12.4.5.3 (Construction of an SAE</w:t>
      </w:r>
      <w:r>
        <w:t xml:space="preserve"> </w:t>
      </w:r>
      <w:r w:rsidRPr="006A5833">
        <w:t xml:space="preserve">Commit message)), (#595)increment </w:t>
      </w:r>
      <w:r w:rsidRPr="0003321C">
        <w:rPr>
          <w:i/>
        </w:rPr>
        <w:t>Sc</w:t>
      </w:r>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instance</w:t>
      </w:r>
      <w:r>
        <w:rPr>
          <w:u w:val="single"/>
        </w:rPr>
        <w:t>,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At 3125.7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r w:rsidRPr="00B63683">
        <w:rPr>
          <w:i/>
        </w:rPr>
        <w:t>Rc</w:t>
      </w:r>
      <w:r w:rsidRPr="00B63683">
        <w:t xml:space="preserve">, and </w:t>
      </w:r>
      <w:r w:rsidRPr="00B63683">
        <w:rPr>
          <w:i/>
        </w:rPr>
        <w:t>Sc</w:t>
      </w:r>
      <w:r w:rsidRPr="00B63683">
        <w:t xml:space="preserve"> variables</w:t>
      </w:r>
      <w:r>
        <w:t>” to “</w:t>
      </w:r>
      <w:r w:rsidRPr="00B63683">
        <w:rPr>
          <w:i/>
        </w:rPr>
        <w:t>Sync</w:t>
      </w:r>
      <w:r w:rsidRPr="00B63683">
        <w:t xml:space="preserve">, </w:t>
      </w:r>
      <w:r w:rsidRPr="00B63683">
        <w:rPr>
          <w:i/>
        </w:rPr>
        <w:t>Rc</w:t>
      </w:r>
      <w:r w:rsidRPr="00B63683">
        <w:t xml:space="preserve">, and </w:t>
      </w:r>
      <w:r w:rsidRPr="00B63683">
        <w:rPr>
          <w:i/>
        </w:rPr>
        <w:t>Sc</w:t>
      </w:r>
      <w:r w:rsidRPr="00B63683">
        <w:t xml:space="preserve"> variables</w:t>
      </w:r>
      <w:r>
        <w:t>”.</w:t>
      </w:r>
    </w:p>
    <w:p w14:paraId="0ED60809" w14:textId="3B012668" w:rsidR="00B63683" w:rsidRDefault="00B63683" w:rsidP="006A5833"/>
    <w:p w14:paraId="362B4198" w14:textId="578E9B26" w:rsidR="00B63683" w:rsidRPr="00B63683" w:rsidRDefault="00B63683" w:rsidP="006A5833">
      <w:r>
        <w:t>At 3125.25 change “t</w:t>
      </w:r>
      <w:r w:rsidRPr="00B63683">
        <w:t xml:space="preserve">he </w:t>
      </w:r>
      <w:r w:rsidRPr="00B63683">
        <w:rPr>
          <w:i/>
        </w:rPr>
        <w:t>Sc</w:t>
      </w:r>
      <w:r w:rsidRPr="00B63683">
        <w:t xml:space="preserve"> counter</w:t>
      </w:r>
      <w:r>
        <w:t>” to “</w:t>
      </w:r>
      <w:r w:rsidRPr="00B63683">
        <w:rPr>
          <w:i/>
        </w:rPr>
        <w:t>Sc</w:t>
      </w:r>
      <w:r>
        <w:t>”.</w:t>
      </w:r>
    </w:p>
    <w:p w14:paraId="24D081D2" w14:textId="44DED948" w:rsidR="00B63683" w:rsidRDefault="00B63683" w:rsidP="006A5833"/>
    <w:p w14:paraId="46F5408B" w14:textId="6C8DFA95" w:rsidR="00B63683" w:rsidRDefault="00B63683" w:rsidP="00B63683">
      <w:r>
        <w:t>At 3126.36/61 change “t</w:t>
      </w:r>
      <w:r w:rsidRPr="00B63683">
        <w:t xml:space="preserve">he </w:t>
      </w:r>
      <w:r>
        <w:rPr>
          <w:i/>
        </w:rPr>
        <w:t>R</w:t>
      </w:r>
      <w:r w:rsidRPr="00B63683">
        <w:rPr>
          <w:i/>
        </w:rPr>
        <w:t>c</w:t>
      </w:r>
      <w:r>
        <w:t xml:space="preserve"> variable” to “</w:t>
      </w:r>
      <w:r>
        <w:rPr>
          <w:i/>
        </w:rPr>
        <w:t>R</w:t>
      </w:r>
      <w:r w:rsidRPr="00B63683">
        <w:rPr>
          <w:i/>
        </w:rPr>
        <w:t>c</w:t>
      </w:r>
      <w:r>
        <w:t>”.</w:t>
      </w:r>
    </w:p>
    <w:p w14:paraId="1DD31387" w14:textId="243801AE" w:rsidR="0064090D" w:rsidRDefault="0064090D" w:rsidP="00B63683"/>
    <w:p w14:paraId="13A548A1" w14:textId="31EE742D" w:rsidR="0064090D" w:rsidRDefault="0064090D" w:rsidP="00B63683">
      <w:r>
        <w:t xml:space="preserve">At 3126.1/3/40/43/55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3126.62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a list of</w:t>
      </w:r>
      <w:r>
        <w:rPr>
          <w:u w:val="single"/>
        </w:rPr>
        <w:t>one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consist of</w:t>
      </w:r>
      <w:r>
        <w:rPr>
          <w:u w:val="single"/>
        </w:rPr>
        <w:t>include</w:t>
      </w:r>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in response to</w:t>
      </w:r>
      <w:r w:rsidR="0093793F">
        <w:rPr>
          <w:u w:val="single"/>
        </w:rPr>
        <w:t>a request for</w:t>
      </w:r>
      <w:r>
        <w:t xml:space="preserve"> an Anti-Clogging Token field</w:t>
      </w:r>
      <w:r w:rsidR="0093793F">
        <w:rPr>
          <w:u w:val="single"/>
        </w:rPr>
        <w:t xml:space="preserve"> or in response to such a</w:t>
      </w:r>
      <w:r>
        <w:t xml:space="preserve"> request (see 12.4.7.6 (Status codes)), </w:t>
      </w:r>
      <w:r w:rsidRPr="009A6936">
        <w:rPr>
          <w:strike/>
        </w:rPr>
        <w:t>the</w:t>
      </w:r>
      <w:r>
        <w:rPr>
          <w:u w:val="single"/>
        </w:rPr>
        <w:t>an</w:t>
      </w:r>
      <w:r>
        <w:t xml:space="preserve"> Anti-Clogging Token field </w:t>
      </w:r>
      <w:r w:rsidRPr="009A6936">
        <w:rPr>
          <w:strike/>
        </w:rPr>
        <w:t>is present</w:t>
      </w:r>
      <w:r>
        <w:rPr>
          <w:u w:val="single"/>
        </w:rPr>
        <w:t>shall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the</w:t>
      </w:r>
      <w:r>
        <w:rPr>
          <w:u w:val="single"/>
        </w:rPr>
        <w:t xml:space="preserve"> a</w:t>
      </w:r>
      <w:r>
        <w:t xml:space="preserve"> Password </w:t>
      </w:r>
      <w:r w:rsidRPr="009A6936">
        <w:rPr>
          <w:strike/>
        </w:rPr>
        <w:t>i</w:t>
      </w:r>
      <w:r w:rsidRPr="009A6936">
        <w:rPr>
          <w:u w:val="single"/>
        </w:rPr>
        <w:t>I</w:t>
      </w:r>
      <w:r>
        <w:t xml:space="preserve">dentifier element shall be </w:t>
      </w:r>
      <w:r w:rsidRPr="00B81B34">
        <w:rPr>
          <w:strike/>
        </w:rPr>
        <w:t>present</w:t>
      </w:r>
      <w:r w:rsidR="00B81B34">
        <w:rPr>
          <w:u w:val="single"/>
        </w:rPr>
        <w:t>included</w:t>
      </w:r>
      <w:r>
        <w:t xml:space="preserve"> and the identifier shall be encoded as a UTF-8 string in the Identifier </w:t>
      </w:r>
      <w:r w:rsidRPr="009A6936">
        <w:rPr>
          <w:strike/>
        </w:rPr>
        <w:t>portion of the element</w:t>
      </w:r>
      <w:r>
        <w:rPr>
          <w:u w:val="single"/>
        </w:rPr>
        <w:t>field</w:t>
      </w:r>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r w:rsidRPr="009A6936">
        <w:rPr>
          <w:strike/>
        </w:rPr>
        <w:t>applicable</w:t>
      </w:r>
      <w:r>
        <w:rPr>
          <w:u w:val="single"/>
        </w:rPr>
        <w:t>any</w:t>
      </w:r>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be</w:t>
      </w:r>
      <w:r w:rsidR="00BD1E81">
        <w:rPr>
          <w:u w:val="single"/>
        </w:rPr>
        <w:t>is</w:t>
      </w:r>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Note that by definition an Action frame that supports group addressed privacy is a robust Action frame.  Also note that this concept only applies to Action frames, not to other Management frames.  And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r w:rsidRPr="007655FF">
        <w:t>Management frame protection protocols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r w:rsidRPr="007655FF">
        <w:t>Management frame protection protocols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(3x).</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The MME is present when management frame protection is enabled at the AP, the frame is a group addressed robust Action frame, and the category of the Action frame does not support group addressed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Stephen McCANN</w:t>
            </w:r>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r w:rsidR="00D612B5">
        <w:t>229.40.</w:t>
      </w:r>
    </w:p>
    <w:p w14:paraId="6B88ACDB" w14:textId="71FC0776" w:rsidR="000B2CCB" w:rsidRDefault="000B2CCB" w:rsidP="000B2CCB">
      <w:r>
        <w:t>Change “</w:t>
      </w:r>
      <w:r w:rsidRPr="000B2CCB">
        <w:t>High Throughput SIGNAL field</w:t>
      </w:r>
      <w:r>
        <w:t xml:space="preserve">” to </w:t>
      </w:r>
      <w:commentRangeStart w:id="0"/>
      <w:r>
        <w:t>“high-t</w:t>
      </w:r>
      <w:r w:rsidRPr="000B2CCB">
        <w:t>hroughput SIGNAL field</w:t>
      </w:r>
      <w:r>
        <w:t>”</w:t>
      </w:r>
      <w:commentRangeEnd w:id="0"/>
      <w:r>
        <w:rPr>
          <w:rStyle w:val="CommentReference"/>
        </w:rPr>
        <w:commentReference w:id="0"/>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Change “High-throughput” to “High throughput” at 279.37, 3532.1, 4928.52, 5047.27.</w:t>
      </w:r>
    </w:p>
    <w:p w14:paraId="7B6753A7" w14:textId="6119AA52" w:rsidR="00F03E8E" w:rsidRDefault="00F03E8E">
      <w:r>
        <w:t>Change “</w:t>
      </w:r>
      <w:r w:rsidRPr="000B2CCB">
        <w:t>High Throughput SIGNAL field</w:t>
      </w:r>
      <w:r>
        <w:t xml:space="preserve">” to </w:t>
      </w:r>
      <w:commentRangeStart w:id="1"/>
      <w:r>
        <w:t>“high t</w:t>
      </w:r>
      <w:r w:rsidRPr="000B2CCB">
        <w:t>hroughput SIGNAL field</w:t>
      </w:r>
      <w:r>
        <w:t>”</w:t>
      </w:r>
      <w:commentRangeEnd w:id="1"/>
      <w:r>
        <w:rPr>
          <w:rStyle w:val="CommentReference"/>
        </w:rPr>
        <w:commentReference w:id="1"/>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2"/>
      <w:r>
        <w:t>Note that HT and VHT PHYs’ TXVECTOR includes a FORMAT parameter, so the clauses don’t need to be explicitly listed.</w:t>
      </w:r>
      <w:commentRangeEnd w:id="2"/>
      <w:r w:rsidR="00656F43">
        <w:rPr>
          <w:rStyle w:val="CommentReference"/>
        </w:rPr>
        <w:commentReference w:id="2"/>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3216.41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NOTE—While the MIC calculation is the same in each direction, the Key Ack bit is different in each direction. It is set in EAPOL-Key frames from the Authenticator and 0 in EAPOL-Key frames from the Supplicant. 4-way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Ack = 1. This bit alone should actually be sufficient to stop reflection attacks, i.e., the part about the Request bit should not really be needed since the EAPOL-Key request frames are supposed to use Key Ack = 0 even though they sometimes expect a response. Maybe someone in TGi 20 or so years ago thought that Key Ack = 1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I'd assume this note was added as an attempt to make implementors aware of a critical requirement for the 4-way handshake to be secure. It does not look like this location for the note is really ideal.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Another possible response to a Supplicant that is making excessive PTK or GTK rekeying requests would be to deauth/disassoc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or should it be expected that Supplicants will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1 </w:t>
      </w:r>
      <w:r w:rsidRPr="00845C37">
        <w:rPr>
          <w:strike/>
        </w:rPr>
        <w:t>has</w:t>
      </w:r>
      <w:r>
        <w:rPr>
          <w:u w:val="single"/>
        </w:rPr>
        <w:t>with</w:t>
      </w:r>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r>
        <w:t>initiat</w:t>
      </w:r>
      <w:r w:rsidRPr="00DC5EF0">
        <w:rPr>
          <w:u w:val="single"/>
        </w:rPr>
        <w:t>ing</w:t>
      </w:r>
      <w:r w:rsidRPr="00DC5EF0">
        <w:rPr>
          <w:strike/>
        </w:rPr>
        <w:t>e</w:t>
      </w:r>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1</w:t>
      </w:r>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r w:rsidRPr="00907ADD">
        <w:rPr>
          <w:strike/>
        </w:rPr>
        <w:t>the</w:t>
      </w:r>
      <w:r w:rsidR="00907ADD">
        <w:rPr>
          <w:u w:val="single"/>
        </w:rPr>
        <w:t>an</w:t>
      </w:r>
      <w:r>
        <w:t xml:space="preserve"> EAPOL-Key frame in which the Request bit is 1 </w:t>
      </w:r>
      <w:r w:rsidR="00845C37" w:rsidRPr="00845C37">
        <w:rPr>
          <w:strike/>
        </w:rPr>
        <w:t>has</w:t>
      </w:r>
      <w:r w:rsidR="00845C37">
        <w:rPr>
          <w:u w:val="single"/>
        </w:rPr>
        <w:t>with</w:t>
      </w:r>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r w:rsidRPr="0074368E">
        <w:rPr>
          <w:strike/>
        </w:rPr>
        <w:t>execute</w:t>
      </w:r>
      <w:r w:rsidR="0074368E">
        <w:rPr>
          <w:u w:val="single"/>
        </w:rPr>
        <w:t>initiate</w:t>
      </w:r>
      <w:r>
        <w:t xml:space="preserve"> </w:t>
      </w:r>
      <w:r w:rsidRPr="0074368E">
        <w:rPr>
          <w:strike/>
        </w:rPr>
        <w:t>the</w:t>
      </w:r>
      <w:r w:rsidR="0074368E">
        <w:rPr>
          <w:u w:val="single"/>
        </w:rPr>
        <w:t>a</w:t>
      </w:r>
      <w:r>
        <w:t xml:space="preserve"> group key handshake </w:t>
      </w:r>
      <w:r w:rsidRPr="0061703B">
        <w:rPr>
          <w:strike/>
        </w:rPr>
        <w:t>to</w:t>
      </w:r>
      <w:r w:rsidR="0061703B" w:rsidRPr="0061703B">
        <w:rPr>
          <w:u w:val="single"/>
        </w:rPr>
        <w:t>with</w:t>
      </w:r>
      <w:r>
        <w:t xml:space="preserve"> </w:t>
      </w:r>
      <w:r w:rsidRPr="0012359D">
        <w:rPr>
          <w:strike/>
        </w:rPr>
        <w:t>all</w:t>
      </w:r>
      <w:r w:rsidR="0012359D">
        <w:rPr>
          <w:u w:val="single"/>
        </w:rPr>
        <w:t>each</w:t>
      </w:r>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3</w:t>
      </w:r>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1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NOTE—While the MIC calculation is the same in each direction, the Key Ack bit is different in each direction. It is set</w:t>
      </w:r>
      <w:r w:rsidRPr="002B167F">
        <w:rPr>
          <w:strike/>
          <w:u w:val="single"/>
        </w:rPr>
        <w:t xml:space="preserve"> to 1</w:t>
      </w:r>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1</w:t>
      </w:r>
      <w:r w:rsidRPr="002B167F">
        <w:rPr>
          <w:strike/>
          <w:u w:val="single"/>
        </w:rPr>
        <w:t xml:space="preserve"> and the Error bit equal to 0</w:t>
      </w:r>
      <w:r w:rsidRPr="002B167F">
        <w:rPr>
          <w:strike/>
        </w:rPr>
        <w:t xml:space="preserve">. The Authenticator and </w:t>
      </w:r>
      <w:r w:rsidRPr="002B167F">
        <w:rPr>
          <w:strike/>
        </w:rPr>
        <w:lastRenderedPageBreak/>
        <w:t>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Key Ack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r w:rsidRPr="008417A4">
        <w:t xml:space="preserve">A </w:t>
      </w:r>
      <w:r w:rsidRPr="008417A4">
        <w:rPr>
          <w:strike/>
        </w:rPr>
        <w:t>s</w:t>
      </w:r>
      <w:r w:rsidRPr="008417A4">
        <w:rPr>
          <w:u w:val="single"/>
        </w:rPr>
        <w:t>S</w:t>
      </w:r>
      <w:r w:rsidRPr="008417A4">
        <w:t xml:space="preserve">upplicant may send an EAPOL request message to the </w:t>
      </w:r>
      <w:r w:rsidRPr="008417A4">
        <w:rPr>
          <w:strike/>
        </w:rPr>
        <w:t>a</w:t>
      </w:r>
      <w:r w:rsidRPr="008417A4">
        <w:rPr>
          <w:u w:val="single"/>
        </w:rPr>
        <w:t>A</w:t>
      </w:r>
      <w:r w:rsidRPr="008417A4">
        <w:t>uthenticator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At 1956.53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At 847.33 change "renewal of an expiring RSN SA" to "rekeying to renew an expiring SA".  At 847.46 change "RSN keys expired and could not be renewed" to "RSN keys expired and could not be renewed by rekeying".  At 850.22 and 851.31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r>
        <w:t xml:space="preserve">At the moment,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2022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r>
        <w:t xml:space="preserve">Also, an </w:t>
      </w:r>
      <w:r w:rsidR="0099076C">
        <w:t>“</w:t>
      </w:r>
      <w:r>
        <w:t>RSN SA</w:t>
      </w:r>
      <w:r w:rsidR="0099076C">
        <w:t>”</w:t>
      </w:r>
      <w:r>
        <w:t xml:space="preserve"> is not a defined term.  It’s just an SA</w:t>
      </w:r>
      <w:r w:rsidR="00232720">
        <w:t>, or actually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MSGCF-ESS-LINK-DOWN.indication</w:t>
      </w:r>
      <w:r>
        <w:t xml:space="preserve">) and </w:t>
      </w:r>
      <w:r w:rsidRPr="006538C5">
        <w:t>6.4.7.3.2 Semantics of the service primitive</w:t>
      </w:r>
      <w:r>
        <w:t xml:space="preserve"> (in </w:t>
      </w:r>
      <w:r w:rsidRPr="006538C5">
        <w:t>6.4.7.3 MSGCF-ESS-LINK-GOING-DOWN.indication</w:t>
      </w:r>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When a PTKSA is deleted, a non-AP and non-PCP STA may reassociate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r w:rsidRPr="008F09DA">
        <w:rPr>
          <w:strike/>
        </w:rPr>
        <w:t>using</w:t>
      </w:r>
      <w:r w:rsidR="008F09DA">
        <w:rPr>
          <w:u w:val="single"/>
        </w:rPr>
        <w:t>via</w:t>
      </w:r>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by using</w:t>
      </w:r>
      <w:r w:rsidR="008F09DA">
        <w:rPr>
          <w:u w:val="single"/>
        </w:rPr>
        <w:t>via</w:t>
      </w:r>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r w:rsidR="00B53966">
        <w:rPr>
          <w:u w:val="single"/>
        </w:rPr>
        <w:t xml:space="preserve">cases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At 3242.41 and 3243.29 change “GTKReKey” to “GTKRekey”.</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"This standard assumes that IEEE Std 802.1X-2010 does not block the Controlled Port when authentication is</w:t>
            </w:r>
          </w:p>
          <w:p w14:paraId="3E47D134" w14:textId="3BACB581" w:rsidR="001C6A7A" w:rsidRPr="00721F3D" w:rsidRDefault="001C6A7A" w:rsidP="001C6A7A">
            <w:r>
              <w:t>triggered through reauthentication." is odd.  It's a matter of fact: does IEEE Std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r w:rsidR="003D2C19" w:rsidRPr="002C1619" w14:paraId="7E736BEE" w14:textId="77777777" w:rsidTr="00E55916">
        <w:tc>
          <w:tcPr>
            <w:tcW w:w="1809" w:type="dxa"/>
          </w:tcPr>
          <w:p w14:paraId="0D955740" w14:textId="77777777" w:rsidR="003D2C19" w:rsidRDefault="003D2C19" w:rsidP="00202D7E">
            <w:r>
              <w:t>CID 1794</w:t>
            </w:r>
          </w:p>
          <w:p w14:paraId="5FC47201" w14:textId="77777777" w:rsidR="003D2C19" w:rsidRDefault="003D2C19" w:rsidP="00202D7E">
            <w:r>
              <w:t>Mark RISON</w:t>
            </w:r>
          </w:p>
          <w:p w14:paraId="069B67FB" w14:textId="77777777" w:rsidR="003D2C19" w:rsidRDefault="003D2C19" w:rsidP="00202D7E">
            <w:r>
              <w:t>12.6.1.3.2</w:t>
            </w:r>
          </w:p>
          <w:p w14:paraId="65A90670" w14:textId="3EBCCB61" w:rsidR="003D2C19" w:rsidRDefault="003D2C19" w:rsidP="00202D7E">
            <w:r>
              <w:t>3168.26</w:t>
            </w:r>
          </w:p>
        </w:tc>
        <w:tc>
          <w:tcPr>
            <w:tcW w:w="4383" w:type="dxa"/>
          </w:tcPr>
          <w:p w14:paraId="1D0342E4" w14:textId="5D90D393" w:rsidR="003D2C19" w:rsidRDefault="003D2C19" w:rsidP="003D2C19">
            <w:r>
              <w:t>" Although</w:t>
            </w:r>
          </w:p>
          <w:p w14:paraId="2129E6EB" w14:textId="77777777" w:rsidR="003D2C19" w:rsidRDefault="003D2C19" w:rsidP="003D2C19">
            <w:r>
              <w:t>IEEE Std 802.1X-2010 does not require a Supplicant Controlled Port, this standard assumes that the Supplicant has a</w:t>
            </w:r>
          </w:p>
          <w:p w14:paraId="2068F41F" w14:textId="4E2CEB39" w:rsidR="003D2C19" w:rsidRDefault="003D2C19" w:rsidP="003D2C19">
            <w:r>
              <w:t>Controlled Port" -- if this is important, it needs to be more than a NOTE/assumption</w:t>
            </w:r>
          </w:p>
        </w:tc>
        <w:tc>
          <w:tcPr>
            <w:tcW w:w="3384" w:type="dxa"/>
          </w:tcPr>
          <w:p w14:paraId="68E42E7E" w14:textId="12BDA2C4" w:rsidR="003D2C19" w:rsidRDefault="003D2C19" w:rsidP="003D2C19">
            <w:r>
              <w:t>Change to " Although</w:t>
            </w:r>
          </w:p>
          <w:p w14:paraId="14D887DE" w14:textId="77777777" w:rsidR="003D2C19" w:rsidRDefault="003D2C19" w:rsidP="003D2C19">
            <w:r>
              <w:t>IEEE Std 802.1X-2010 does not require a Supplicant Controlled Port, this standard requires the Supplicant to have a</w:t>
            </w:r>
          </w:p>
          <w:p w14:paraId="7569FF48" w14:textId="21127013" w:rsidR="003D2C19" w:rsidRPr="001C6A7A" w:rsidRDefault="003D2C19" w:rsidP="003D2C19">
            <w:r>
              <w:t>Controlled Port" and at the end of 12.6.1.3.1 add a para "A Supplicant shall have a Controlled Port."</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commentRangeStart w:id="3"/>
      <w:r>
        <w:t xml:space="preserve">Make the changes indicated </w:t>
      </w:r>
      <w:r w:rsidR="00202D7E">
        <w:t>at the following locations:</w:t>
      </w:r>
      <w:commentRangeEnd w:id="3"/>
      <w:r w:rsidR="00FF039A">
        <w:rPr>
          <w:rStyle w:val="CommentReference"/>
        </w:rPr>
        <w:commentReference w:id="3"/>
      </w:r>
    </w:p>
    <w:p w14:paraId="1A73507E" w14:textId="47EBB762" w:rsidR="00202D7E" w:rsidRDefault="00202D7E" w:rsidP="00202D7E"/>
    <w:p w14:paraId="38E6FF7F" w14:textId="4F4DA295" w:rsidR="00202D7E" w:rsidRPr="00202D7E" w:rsidRDefault="00202D7E" w:rsidP="00202D7E">
      <w:r w:rsidRPr="008C384C">
        <w:rPr>
          <w:highlight w:val="red"/>
        </w:rPr>
        <w:t xml:space="preserve">353.25: </w:t>
      </w:r>
      <w:r w:rsidRPr="008C384C">
        <w:rPr>
          <w:strike/>
          <w:highlight w:val="red"/>
        </w:rPr>
        <w:t>In order for</w:t>
      </w:r>
      <w:r w:rsidR="00FF5EC7" w:rsidRPr="008C384C">
        <w:rPr>
          <w:highlight w:val="red"/>
          <w:u w:val="single"/>
        </w:rPr>
        <w:t>To ensure</w:t>
      </w:r>
      <w:r w:rsidRPr="008C384C">
        <w:rPr>
          <w:highlight w:val="red"/>
        </w:rPr>
        <w:t xml:space="preserve"> the MAC </w:t>
      </w:r>
      <w:r w:rsidRPr="008C384C">
        <w:rPr>
          <w:strike/>
          <w:highlight w:val="red"/>
        </w:rPr>
        <w:t xml:space="preserve">to </w:t>
      </w:r>
      <w:r w:rsidRPr="008C384C">
        <w:rPr>
          <w:highlight w:val="red"/>
        </w:rPr>
        <w:t>operate</w:t>
      </w:r>
      <w:r w:rsidR="00FF5EC7" w:rsidRPr="008C384C">
        <w:rPr>
          <w:highlight w:val="red"/>
          <w:u w:val="single"/>
        </w:rPr>
        <w:t>s</w:t>
      </w:r>
      <w:r w:rsidRPr="008C384C">
        <w:rPr>
          <w:highlight w:val="red"/>
        </w:rPr>
        <w:t xml:space="preserve"> properly, </w:t>
      </w:r>
      <w:r w:rsidRPr="008C384C">
        <w:rPr>
          <w:strike/>
          <w:highlight w:val="red"/>
        </w:rPr>
        <w:t xml:space="preserve">this standard assumes that </w:t>
      </w:r>
      <w:r w:rsidRPr="008C384C">
        <w:rPr>
          <w:highlight w:val="red"/>
        </w:rPr>
        <w:t xml:space="preserve">the DS </w:t>
      </w:r>
      <w:r w:rsidR="00FF5EC7" w:rsidRPr="008C384C">
        <w:rPr>
          <w:highlight w:val="red"/>
          <w:u w:val="single"/>
        </w:rPr>
        <w:t xml:space="preserve">shall </w:t>
      </w:r>
      <w:r w:rsidRPr="008C384C">
        <w:rPr>
          <w:highlight w:val="red"/>
        </w:rPr>
        <w:t>meet</w:t>
      </w:r>
      <w:r w:rsidRPr="008C384C">
        <w:rPr>
          <w:strike/>
          <w:highlight w:val="red"/>
        </w:rPr>
        <w:t>s</w:t>
      </w:r>
      <w:r w:rsidRPr="008C384C">
        <w:rPr>
          <w:highlight w:val="red"/>
        </w:rPr>
        <w:t xml:space="preserve"> the MSDU (“object”) reordering requirements of IEEE Std 802.1AC-2012 [B17].</w:t>
      </w:r>
    </w:p>
    <w:p w14:paraId="715B0DF0" w14:textId="0FA2640F" w:rsidR="00202D7E" w:rsidRDefault="00202D7E" w:rsidP="00202D7E">
      <w:pPr>
        <w:rPr>
          <w:u w:val="single"/>
        </w:rPr>
      </w:pPr>
    </w:p>
    <w:p w14:paraId="30801637" w14:textId="320179FB" w:rsidR="00FF5EC7" w:rsidRPr="008E2DA2" w:rsidRDefault="00FF5EC7" w:rsidP="00FF5EC7">
      <w:pPr>
        <w:rPr>
          <w:highlight w:val="red"/>
        </w:rPr>
      </w:pPr>
      <w:r w:rsidRPr="008E2DA2">
        <w:rPr>
          <w:highlight w:val="red"/>
        </w:rPr>
        <w:t>2927.51</w:t>
      </w:r>
      <w:r w:rsidR="00202D7E" w:rsidRPr="008E2DA2">
        <w:rPr>
          <w:highlight w:val="red"/>
        </w:rPr>
        <w:t xml:space="preserve">: </w:t>
      </w:r>
      <w:r w:rsidRPr="008E2DA2">
        <w:rPr>
          <w:highlight w:val="red"/>
        </w:rPr>
        <w:t>In an infrastructure BSS, the Interworking element contains signaling for HeSSs(M12). The HESSID is a 6-octet MAC address that identifies the HeSS(M12). The HESSID value shall be identical to one of the BSSIDs in the HeSS(M12)</w:t>
      </w:r>
      <w:r w:rsidRPr="008E2DA2">
        <w:rPr>
          <w:highlight w:val="red"/>
          <w:u w:val="single"/>
        </w:rPr>
        <w:t xml:space="preserve"> and all BSSs in the HeSS shall use the same value</w:t>
      </w:r>
      <w:r w:rsidRPr="008E2DA2">
        <w:rPr>
          <w:highlight w:val="red"/>
        </w:rPr>
        <w:t>. Thus, it is a globally unique identifier that, in conjunction with the SSID, may be used to provide network identification for an SSPN.</w:t>
      </w:r>
    </w:p>
    <w:p w14:paraId="22BE4313" w14:textId="74DDCBDD" w:rsidR="00FF5EC7" w:rsidRPr="008E2DA2" w:rsidRDefault="00FF5EC7" w:rsidP="00FF5EC7">
      <w:pPr>
        <w:rPr>
          <w:strike/>
          <w:highlight w:val="red"/>
        </w:rPr>
      </w:pPr>
      <w:commentRangeStart w:id="4"/>
      <w:r w:rsidRPr="008E2DA2">
        <w:rPr>
          <w:strike/>
          <w:highlight w:val="red"/>
        </w:rPr>
        <w:t>NOTE 1—This standard assumes that the HESSID field in the Interworking element is administered consistently across all BSSs in an HeSS(M12).</w:t>
      </w:r>
      <w:commentRangeEnd w:id="4"/>
      <w:r w:rsidR="008E2DA2">
        <w:rPr>
          <w:rStyle w:val="CommentReference"/>
        </w:rPr>
        <w:commentReference w:id="4"/>
      </w:r>
    </w:p>
    <w:p w14:paraId="3869DEEF" w14:textId="1CC7E137" w:rsidR="00FF5EC7" w:rsidRDefault="00FF5EC7" w:rsidP="00FF5EC7">
      <w:r w:rsidRPr="008E2DA2">
        <w:rPr>
          <w:highlight w:val="red"/>
        </w:rPr>
        <w:t>NOTE</w:t>
      </w:r>
      <w:r w:rsidRPr="008E2DA2">
        <w:rPr>
          <w:strike/>
          <w:highlight w:val="red"/>
        </w:rPr>
        <w:t xml:space="preserve"> 2</w:t>
      </w:r>
      <w:r w:rsidRPr="008E2DA2">
        <w:rPr>
          <w:highlight w:val="red"/>
        </w:rPr>
        <w:t>—The concept of an HeSS is orthogonal to an ESS, and any SSIDs can be used by the BSSs that provide access to the HeSS. For more information on HeSS, refer to Wi-Fi Alliance documents [B59] and [B60].(M12)</w:t>
      </w:r>
    </w:p>
    <w:p w14:paraId="22D4A793" w14:textId="7C894E25" w:rsidR="00202D7E" w:rsidRDefault="00202D7E" w:rsidP="00202D7E"/>
    <w:p w14:paraId="3A87D50E" w14:textId="43DCD50D" w:rsidR="00202D7E" w:rsidRDefault="00202D7E" w:rsidP="00202D7E">
      <w:pPr>
        <w:rPr>
          <w:i/>
        </w:rPr>
      </w:pPr>
      <w:commentRangeStart w:id="5"/>
      <w:r w:rsidRPr="000B509A">
        <w:rPr>
          <w:highlight w:val="red"/>
        </w:rPr>
        <w:t>2960</w:t>
      </w:r>
      <w:commentRangeEnd w:id="5"/>
      <w:r w:rsidR="000B509A">
        <w:rPr>
          <w:rStyle w:val="CommentReference"/>
        </w:rPr>
        <w:commentReference w:id="5"/>
      </w:r>
      <w:r w:rsidRPr="000B509A">
        <w:rPr>
          <w:highlight w:val="red"/>
        </w:rPr>
        <w:t xml:space="preserve">.50: </w:t>
      </w:r>
      <w:r w:rsidRPr="000B509A">
        <w:rPr>
          <w:strike/>
          <w:highlight w:val="red"/>
        </w:rPr>
        <w:t xml:space="preserve">NOTE—This standard assumes that all APs in an ESS are configured consistently for QMF service </w:t>
      </w:r>
      <w:r w:rsidR="00FF5EC7" w:rsidRPr="000B509A">
        <w:rPr>
          <w:highlight w:val="red"/>
          <w:u w:val="single"/>
        </w:rPr>
        <w:t xml:space="preserve">All APs in an ESS shall have the same QMF settings </w:t>
      </w:r>
      <w:r w:rsidRPr="000B509A">
        <w:rPr>
          <w:highlight w:val="red"/>
        </w:rPr>
        <w:t>when GQMF has been enabled for use by associated non-AP STAs.</w:t>
      </w:r>
    </w:p>
    <w:p w14:paraId="4603805F" w14:textId="7F51DCF9" w:rsidR="00202D7E" w:rsidRDefault="00202D7E" w:rsidP="00202D7E">
      <w:pPr>
        <w:rPr>
          <w:i/>
        </w:rPr>
      </w:pPr>
    </w:p>
    <w:p w14:paraId="400BC265" w14:textId="58B526A0" w:rsidR="00FF5EC7" w:rsidRPr="00AD014A" w:rsidRDefault="00202D7E" w:rsidP="00335BBF">
      <w:pPr>
        <w:rPr>
          <w:b/>
          <w:i/>
          <w:highlight w:val="green"/>
          <w:u w:val="single"/>
        </w:rPr>
      </w:pPr>
      <w:r w:rsidRPr="00AD014A">
        <w:rPr>
          <w:highlight w:val="green"/>
        </w:rPr>
        <w:t>3168.25: NOTE—</w:t>
      </w:r>
      <w:r w:rsidR="00335BBF" w:rsidRPr="00AD014A">
        <w:rPr>
          <w:highlight w:val="green"/>
        </w:rPr>
        <w:t xml:space="preserve">The IEEE 802.1X Uncontrolled Port allows IEEE 802.1X frames to pass between the Supplicant and Authenticator. </w:t>
      </w:r>
      <w:r w:rsidRPr="00AD014A">
        <w:rPr>
          <w:highlight w:val="green"/>
        </w:rPr>
        <w:t>[…</w:t>
      </w:r>
      <w:r w:rsidR="00FF5EC7" w:rsidRPr="00AD014A">
        <w:rPr>
          <w:highlight w:val="green"/>
        </w:rPr>
        <w:t xml:space="preserve">] </w:t>
      </w:r>
      <w:r w:rsidR="00FF5EC7" w:rsidRPr="00AD014A">
        <w:rPr>
          <w:b/>
          <w:i/>
          <w:highlight w:val="green"/>
          <w:u w:val="single"/>
        </w:rPr>
        <w:t>&lt;para break, move out of NOTE&gt;</w:t>
      </w:r>
    </w:p>
    <w:p w14:paraId="3C9B37EE" w14:textId="77777777" w:rsidR="00335BBF" w:rsidRPr="00AD014A" w:rsidRDefault="00335BBF" w:rsidP="00335BBF">
      <w:pPr>
        <w:rPr>
          <w:highlight w:val="green"/>
        </w:rPr>
      </w:pPr>
    </w:p>
    <w:p w14:paraId="433768E5" w14:textId="1B29FB72" w:rsidR="00FF5EC7" w:rsidRPr="00AD014A" w:rsidRDefault="00FF5EC7" w:rsidP="00202D7E">
      <w:pPr>
        <w:rPr>
          <w:highlight w:val="green"/>
          <w:u w:val="single"/>
        </w:rPr>
      </w:pPr>
      <w:r w:rsidRPr="00AD014A">
        <w:rPr>
          <w:highlight w:val="green"/>
          <w:u w:val="single"/>
        </w:rPr>
        <w:t>Supplicants without a Controlled Port compromise RSN security and shall not be used.</w:t>
      </w:r>
    </w:p>
    <w:p w14:paraId="02974787" w14:textId="124A1856" w:rsidR="00202D7E" w:rsidRPr="00335BBF" w:rsidRDefault="00FF5EC7" w:rsidP="00202D7E">
      <w:pPr>
        <w:rPr>
          <w:strike/>
        </w:rPr>
      </w:pPr>
      <w:r w:rsidRPr="00AD014A">
        <w:rPr>
          <w:highlight w:val="green"/>
          <w:u w:val="single"/>
        </w:rPr>
        <w:t>NOTE—</w:t>
      </w:r>
      <w:r w:rsidR="00202D7E" w:rsidRPr="00AD014A">
        <w:rPr>
          <w:highlight w:val="green"/>
        </w:rPr>
        <w:t xml:space="preserve">Although IEEE Std 802.1X-2010 does not require a Supplicant Controlled Port, this standard </w:t>
      </w:r>
      <w:r w:rsidR="00202D7E" w:rsidRPr="00AD014A">
        <w:rPr>
          <w:strike/>
          <w:highlight w:val="green"/>
        </w:rPr>
        <w:t>assumes</w:t>
      </w:r>
      <w:r w:rsidR="00335BBF" w:rsidRPr="00AD014A">
        <w:rPr>
          <w:highlight w:val="green"/>
          <w:u w:val="single"/>
        </w:rPr>
        <w:t>relies on the fact</w:t>
      </w:r>
      <w:r w:rsidR="00202D7E" w:rsidRPr="00AD014A">
        <w:rPr>
          <w:highlight w:val="green"/>
        </w:rPr>
        <w:t xml:space="preserve"> that the Supplicant has a Controlled Port in order to provide the needed level of security. </w:t>
      </w:r>
      <w:r w:rsidR="00202D7E" w:rsidRPr="00AD014A">
        <w:rPr>
          <w:strike/>
          <w:highlight w:val="green"/>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rsidRPr="00AD014A">
        <w:rPr>
          <w:highlight w:val="green"/>
        </w:rPr>
        <w:lastRenderedPageBreak/>
        <w:t xml:space="preserve">3176.40: When the policy selection process chooses IEEE 802.1X authentication, this standard </w:t>
      </w:r>
      <w:r w:rsidRPr="00AD014A">
        <w:rPr>
          <w:strike/>
          <w:highlight w:val="green"/>
        </w:rPr>
        <w:t>assumes</w:t>
      </w:r>
      <w:r w:rsidR="00335BBF" w:rsidRPr="00AD014A">
        <w:rPr>
          <w:highlight w:val="green"/>
          <w:u w:val="single"/>
        </w:rPr>
        <w:t>relies on the fact</w:t>
      </w:r>
      <w:r w:rsidRPr="00AD014A">
        <w:rPr>
          <w:highlight w:val="green"/>
        </w:rPr>
        <w:t xml:space="preserve"> that IEEE 802.1X Supplicants and Authenticators exchange protocol information via the IEEE 802.1X Uncontrolled </w:t>
      </w:r>
      <w:r w:rsidRPr="00AD014A">
        <w:rPr>
          <w:strike/>
          <w:highlight w:val="green"/>
        </w:rPr>
        <w:t>p</w:t>
      </w:r>
      <w:r w:rsidR="00335BBF" w:rsidRPr="00AD014A">
        <w:rPr>
          <w:highlight w:val="green"/>
          <w:u w:val="single"/>
        </w:rPr>
        <w:t>P</w:t>
      </w:r>
      <w:r w:rsidRPr="00AD014A">
        <w:rPr>
          <w:highlight w:val="green"/>
        </w:rPr>
        <w:t xml:space="preserve">ort.  </w:t>
      </w:r>
      <w:r w:rsidR="00335BBF" w:rsidRPr="00AD014A">
        <w:rPr>
          <w:highlight w:val="green"/>
        </w:rPr>
        <w:t>The IEEE 802.1X Controlled Port is blocked from passing general data traffic between the</w:t>
      </w:r>
      <w:r w:rsidR="00217E88" w:rsidRPr="00AD014A">
        <w:rPr>
          <w:highlight w:val="green"/>
        </w:rPr>
        <w:t xml:space="preserve"> </w:t>
      </w:r>
      <w:r w:rsidR="00335BBF" w:rsidRPr="00AD014A">
        <w:rPr>
          <w:highlight w:val="green"/>
        </w:rPr>
        <w:t>STAs until an IEEE 802.1X authentication procedure completes successfully over the IEEE 802.1X</w:t>
      </w:r>
      <w:r w:rsidR="00443A88" w:rsidRPr="00AD014A">
        <w:rPr>
          <w:highlight w:val="green"/>
        </w:rPr>
        <w:t xml:space="preserve"> </w:t>
      </w:r>
      <w:r w:rsidR="00335BBF" w:rsidRPr="00AD014A">
        <w:rPr>
          <w:highlight w:val="green"/>
        </w:rPr>
        <w:t xml:space="preserve">Uncontrolled Port. The security of an RSNA depends on this </w:t>
      </w:r>
      <w:r w:rsidR="00335BBF" w:rsidRPr="00AD014A">
        <w:rPr>
          <w:strike/>
          <w:highlight w:val="green"/>
        </w:rPr>
        <w:t xml:space="preserve">assumption </w:t>
      </w:r>
      <w:r w:rsidR="00335BBF" w:rsidRPr="00AD014A">
        <w:rPr>
          <w:highlight w:val="green"/>
        </w:rPr>
        <w:t>being true.</w:t>
      </w:r>
      <w:r w:rsidR="00335BBF" w:rsidRPr="00AD014A">
        <w:rPr>
          <w:i/>
          <w:highlight w:val="green"/>
        </w:rPr>
        <w:t xml:space="preserve"> [note the security is in the blocking of the CP, not on the exchanging of 1X stuff via the UP]</w:t>
      </w:r>
    </w:p>
    <w:p w14:paraId="6C476F01" w14:textId="632DBA45" w:rsidR="00202D7E" w:rsidRDefault="00202D7E" w:rsidP="00202D7E"/>
    <w:p w14:paraId="6C4FE2F9" w14:textId="482317EB" w:rsidR="00202D7E" w:rsidRDefault="00202D7E" w:rsidP="00202D7E">
      <w:r w:rsidRPr="009D3F27">
        <w:rPr>
          <w:highlight w:val="green"/>
        </w:rPr>
        <w:t xml:space="preserve">3177.5: </w:t>
      </w:r>
      <w:r w:rsidRPr="009D3F27">
        <w:rPr>
          <w:strike/>
          <w:highlight w:val="green"/>
        </w:rPr>
        <w:t xml:space="preserve">This standard assumes </w:t>
      </w:r>
      <w:r w:rsidR="00335BBF" w:rsidRPr="009D3F27">
        <w:rPr>
          <w:highlight w:val="green"/>
          <w:u w:val="single"/>
        </w:rPr>
        <w:t xml:space="preserve">NOTE—IEEE Std 802.1X maintains </w:t>
      </w:r>
      <w:r w:rsidRPr="009D3F27">
        <w:rPr>
          <w:highlight w:val="green"/>
        </w:rPr>
        <w:t xml:space="preserve">each Controlled Port </w:t>
      </w:r>
      <w:r w:rsidRPr="009D3F27">
        <w:rPr>
          <w:strike/>
          <w:highlight w:val="green"/>
        </w:rPr>
        <w:t>remains</w:t>
      </w:r>
      <w:r w:rsidR="00335BBF" w:rsidRPr="009D3F27">
        <w:rPr>
          <w:highlight w:val="green"/>
          <w:u w:val="single"/>
        </w:rPr>
        <w:t>in a</w:t>
      </w:r>
      <w:r w:rsidRPr="009D3F27">
        <w:rPr>
          <w:highlight w:val="green"/>
        </w:rPr>
        <w:t xml:space="preserve"> blocked</w:t>
      </w:r>
      <w:r w:rsidR="00335BBF" w:rsidRPr="009D3F27">
        <w:rPr>
          <w:highlight w:val="green"/>
          <w:u w:val="single"/>
        </w:rPr>
        <w:t xml:space="preserve"> state</w:t>
      </w:r>
      <w:r w:rsidRPr="009D3F27">
        <w:rPr>
          <w:highlight w:val="green"/>
        </w:rPr>
        <w:t xml:space="preserve"> until the IEEE 802.1X state variables portValid and keyDone both become true. This </w:t>
      </w:r>
      <w:r w:rsidRPr="009D3F27">
        <w:rPr>
          <w:strike/>
          <w:highlight w:val="green"/>
        </w:rPr>
        <w:t xml:space="preserve">assumption </w:t>
      </w:r>
      <w:r w:rsidRPr="009D3F27">
        <w:rPr>
          <w:highlight w:val="green"/>
        </w:rP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r w:rsidRPr="009D3F27">
        <w:rPr>
          <w:highlight w:val="green"/>
        </w:rPr>
        <w:t xml:space="preserve">3177.16: </w:t>
      </w:r>
      <w:r w:rsidRPr="009D3F27">
        <w:rPr>
          <w:strike/>
          <w:highlight w:val="green"/>
        </w:rPr>
        <w:t xml:space="preserve">This standard assumes that </w:t>
      </w:r>
      <w:r w:rsidR="00335BBF" w:rsidRPr="009D3F27">
        <w:rPr>
          <w:highlight w:val="green"/>
          <w:u w:val="single"/>
        </w:rPr>
        <w:t>NOTE—</w:t>
      </w:r>
      <w:r w:rsidRPr="009D3F27">
        <w:rPr>
          <w:highlight w:val="green"/>
        </w:rPr>
        <w:t xml:space="preserve">IEEE Std 802.1X-2010 does not block the Controlled Port when authentication is triggered through </w:t>
      </w:r>
      <w:r w:rsidR="00523024" w:rsidRPr="009D3F27">
        <w:rPr>
          <w:highlight w:val="green"/>
          <w:u w:val="single"/>
        </w:rPr>
        <w:t xml:space="preserve">IEEE 802.1X </w:t>
      </w:r>
      <w:r w:rsidRPr="009D3F27">
        <w:rPr>
          <w:highlight w:val="green"/>
        </w:rPr>
        <w:t xml:space="preserve">reauthentication.  </w:t>
      </w:r>
      <w:r w:rsidR="00335BBF" w:rsidRPr="009D3F27">
        <w:rPr>
          <w:highlight w:val="green"/>
        </w:rPr>
        <w:t xml:space="preserve">During </w:t>
      </w:r>
      <w:r w:rsidR="00335BBF" w:rsidRPr="009D3F27">
        <w:rPr>
          <w:strike/>
          <w:highlight w:val="green"/>
        </w:rPr>
        <w:t xml:space="preserve">IEEE 802.1X </w:t>
      </w:r>
      <w:r w:rsidR="00335BBF" w:rsidRPr="009D3F27">
        <w:rPr>
          <w:highlight w:val="green"/>
        </w:rPr>
        <w:t>reauthentication, an existing RSNA can protect all MSDUs exchanged between the STAs. Blocking MSDUs is not required during reauthentication over an RSNA.</w:t>
      </w:r>
    </w:p>
    <w:p w14:paraId="2AAF35B3" w14:textId="6D2C21A9" w:rsidR="00335BBF" w:rsidRDefault="00335BBF" w:rsidP="00335BBF">
      <w:pPr>
        <w:rPr>
          <w:i/>
        </w:rPr>
      </w:pPr>
    </w:p>
    <w:p w14:paraId="2A45CA9D" w14:textId="5ADB3399" w:rsidR="00202D7E" w:rsidRPr="00202D7E" w:rsidRDefault="00202D7E" w:rsidP="00202D7E">
      <w:pPr>
        <w:rPr>
          <w:i/>
        </w:rPr>
      </w:pPr>
      <w:commentRangeStart w:id="6"/>
      <w:r>
        <w:t xml:space="preserve">3182.3: When the IEEE 802.1X authentication completes successfully, </w:t>
      </w:r>
      <w:r w:rsidRPr="00523024">
        <w:rPr>
          <w:strike/>
        </w:rPr>
        <w:t xml:space="preserve">this standard assumes that </w:t>
      </w:r>
      <w:r>
        <w:t>the STA’s IEEE 802.1X Supplicant and the IEEE 802.1X AS share a secret, called a PMK.</w:t>
      </w:r>
      <w:commentRangeEnd w:id="6"/>
      <w:r w:rsidR="009D3F27">
        <w:rPr>
          <w:rStyle w:val="CommentReference"/>
        </w:rPr>
        <w:commentReference w:id="6"/>
      </w:r>
    </w:p>
    <w:p w14:paraId="5EB5BD53" w14:textId="5D88C525" w:rsidR="00202D7E" w:rsidRDefault="00202D7E" w:rsidP="00202D7E"/>
    <w:p w14:paraId="47615D40" w14:textId="0DDDFFDC" w:rsidR="004F5CA9" w:rsidRPr="009D3F27" w:rsidRDefault="004F5CA9" w:rsidP="004F5CA9">
      <w:pPr>
        <w:rPr>
          <w:highlight w:val="red"/>
        </w:rPr>
      </w:pPr>
      <w:r w:rsidRPr="009D3F27">
        <w:rPr>
          <w:highlight w:val="red"/>
        </w:rPr>
        <w:t xml:space="preserve">3197.46: The PMK-R1s are generated by the R0KH and </w:t>
      </w:r>
      <w:r w:rsidRPr="009D3F27">
        <w:rPr>
          <w:strike/>
          <w:highlight w:val="red"/>
        </w:rPr>
        <w:t>are assumed to</w:t>
      </w:r>
      <w:r w:rsidRPr="009D3F27">
        <w:rPr>
          <w:highlight w:val="red"/>
          <w:u w:val="single"/>
        </w:rPr>
        <w:t>shall</w:t>
      </w:r>
      <w:r w:rsidRPr="009D3F27">
        <w:rPr>
          <w:highlight w:val="red"/>
        </w:rPr>
        <w:t xml:space="preserve"> be delivered from the R0KH to the R1KHs within the same mobility domain.</w:t>
      </w:r>
    </w:p>
    <w:p w14:paraId="7D432B2D" w14:textId="1C60FBA6" w:rsidR="004F5CA9" w:rsidRPr="009D3F27" w:rsidRDefault="004F5CA9" w:rsidP="004F5CA9">
      <w:pPr>
        <w:rPr>
          <w:i/>
          <w:highlight w:val="red"/>
        </w:rPr>
      </w:pPr>
    </w:p>
    <w:p w14:paraId="4FA2D36A" w14:textId="6E55EC63" w:rsidR="00867261" w:rsidRPr="009D3F27" w:rsidRDefault="00867261" w:rsidP="004F5CA9">
      <w:pPr>
        <w:rPr>
          <w:highlight w:val="red"/>
        </w:rPr>
      </w:pPr>
      <w:r w:rsidRPr="009D3F27">
        <w:rPr>
          <w:highlight w:val="red"/>
        </w:rPr>
        <w:t xml:space="preserve">3197.52: </w:t>
      </w:r>
      <w:r w:rsidRPr="009D3F27">
        <w:rPr>
          <w:strike/>
          <w:highlight w:val="red"/>
        </w:rPr>
        <w:t>It is assumed by this standard that t</w:t>
      </w:r>
      <w:r w:rsidRPr="009D3F27">
        <w:rPr>
          <w:highlight w:val="red"/>
          <w:u w:val="single"/>
        </w:rPr>
        <w:t>T</w:t>
      </w:r>
      <w:r w:rsidRPr="009D3F27">
        <w:rPr>
          <w:highlight w:val="red"/>
        </w:rPr>
        <w:t xml:space="preserve">he PSK </w:t>
      </w:r>
      <w:r w:rsidRPr="009D3F27">
        <w:rPr>
          <w:strike/>
          <w:highlight w:val="red"/>
        </w:rPr>
        <w:t>is</w:t>
      </w:r>
      <w:r w:rsidRPr="009D3F27">
        <w:rPr>
          <w:highlight w:val="red"/>
          <w:u w:val="single"/>
        </w:rPr>
        <w:t>shall be</w:t>
      </w:r>
      <w:r w:rsidRPr="009D3F27">
        <w:rPr>
          <w:highlight w:val="red"/>
        </w:rPr>
        <w:t xml:space="preserve"> specific to a single S0KH and a single R0KH.</w:t>
      </w:r>
    </w:p>
    <w:p w14:paraId="5D0E8FE5" w14:textId="4DAB6B7F" w:rsidR="00867261" w:rsidRPr="009D3F27" w:rsidRDefault="00867261" w:rsidP="004F5CA9">
      <w:pPr>
        <w:rPr>
          <w:i/>
          <w:highlight w:val="red"/>
        </w:rPr>
      </w:pPr>
    </w:p>
    <w:p w14:paraId="4447BC8E" w14:textId="50F31163" w:rsidR="00867261" w:rsidRPr="009D3F27" w:rsidRDefault="00867261" w:rsidP="00867261">
      <w:pPr>
        <w:rPr>
          <w:highlight w:val="red"/>
        </w:rPr>
      </w:pPr>
      <w:r w:rsidRPr="009D3F27">
        <w:rPr>
          <w:highlight w:val="red"/>
        </w:rPr>
        <w:t xml:space="preserve">3198.39: The distribution of keys from the R0KH to the R1KHs is outside the scope of this standard. </w:t>
      </w:r>
      <w:r w:rsidRPr="009D3F27">
        <w:rPr>
          <w:strike/>
          <w:highlight w:val="red"/>
        </w:rPr>
        <w:t>It is assumed that t</w:t>
      </w:r>
      <w:r w:rsidRPr="009D3F27">
        <w:rPr>
          <w:highlight w:val="red"/>
          <w:u w:val="single"/>
        </w:rPr>
        <w:t>T</w:t>
      </w:r>
      <w:r w:rsidRPr="009D3F27">
        <w:rPr>
          <w:highlight w:val="red"/>
        </w:rPr>
        <w:t xml:space="preserve">he PMK-R1s </w:t>
      </w:r>
      <w:r w:rsidRPr="009D3F27">
        <w:rPr>
          <w:strike/>
          <w:highlight w:val="red"/>
        </w:rPr>
        <w:t>are</w:t>
      </w:r>
      <w:r w:rsidRPr="009D3F27">
        <w:rPr>
          <w:highlight w:val="red"/>
          <w:u w:val="single"/>
        </w:rPr>
        <w:t>shall be</w:t>
      </w:r>
      <w:r w:rsidRPr="009D3F27">
        <w:rPr>
          <w:highlight w:val="red"/>
        </w:rPr>
        <w:t xml:space="preserve"> distributed from the R0KH to the R1KHs following the requirements specified in 13.2.2 (Authenticator key holders).</w:t>
      </w:r>
    </w:p>
    <w:p w14:paraId="42BBCE07" w14:textId="10762B0B" w:rsidR="00867261" w:rsidRPr="009D3F27" w:rsidRDefault="00867261" w:rsidP="004F5CA9">
      <w:pPr>
        <w:rPr>
          <w:highlight w:val="red"/>
        </w:rPr>
      </w:pPr>
    </w:p>
    <w:p w14:paraId="205E0C41" w14:textId="22D849AE" w:rsidR="00867261" w:rsidRPr="009D3F27" w:rsidRDefault="00867261" w:rsidP="004F5CA9">
      <w:pPr>
        <w:rPr>
          <w:highlight w:val="red"/>
        </w:rPr>
      </w:pPr>
      <w:r w:rsidRPr="009D3F27">
        <w:rPr>
          <w:highlight w:val="red"/>
        </w:rPr>
        <w:t xml:space="preserve">3269.48: Each R0KH-ID and R1KH-ID </w:t>
      </w:r>
      <w:r w:rsidRPr="009D3F27">
        <w:rPr>
          <w:strike/>
          <w:highlight w:val="red"/>
        </w:rPr>
        <w:t>is assumed to</w:t>
      </w:r>
      <w:r w:rsidRPr="009D3F27">
        <w:rPr>
          <w:highlight w:val="red"/>
          <w:u w:val="single"/>
        </w:rPr>
        <w:t>shall</w:t>
      </w:r>
      <w:r w:rsidRPr="009D3F27">
        <w:rPr>
          <w:highlight w:val="red"/>
        </w:rPr>
        <w:t xml:space="preserve"> be expressed as a unique identifier within the mobility domain.</w:t>
      </w:r>
    </w:p>
    <w:p w14:paraId="38C56D90" w14:textId="77777777" w:rsidR="00867261" w:rsidRPr="009D3F27" w:rsidRDefault="00867261" w:rsidP="004F5CA9">
      <w:pPr>
        <w:rPr>
          <w:highlight w:val="red"/>
        </w:rPr>
      </w:pPr>
    </w:p>
    <w:p w14:paraId="630006B0" w14:textId="771B064E" w:rsidR="00202D7E" w:rsidRPr="009D3F27" w:rsidRDefault="004F5CA9" w:rsidP="004F5CA9">
      <w:pPr>
        <w:rPr>
          <w:highlight w:val="red"/>
        </w:rPr>
      </w:pPr>
      <w:r w:rsidRPr="009D3F27">
        <w:rPr>
          <w:highlight w:val="red"/>
        </w:rPr>
        <w:t>3270.24</w:t>
      </w:r>
      <w:r w:rsidR="00202D7E" w:rsidRPr="009D3F27">
        <w:rPr>
          <w:highlight w:val="red"/>
        </w:rPr>
        <w:t xml:space="preserve">: </w:t>
      </w:r>
      <w:r w:rsidRPr="009D3F27">
        <w:rPr>
          <w:highlight w:val="red"/>
        </w:rPr>
        <w:t xml:space="preserve">The R0KH and the R1KH </w:t>
      </w:r>
      <w:r w:rsidRPr="009D3F27">
        <w:rPr>
          <w:strike/>
          <w:highlight w:val="red"/>
        </w:rPr>
        <w:t>are assumed to</w:t>
      </w:r>
      <w:r w:rsidR="00C959D1" w:rsidRPr="009D3F27">
        <w:rPr>
          <w:highlight w:val="red"/>
          <w:u w:val="single"/>
        </w:rPr>
        <w:t>shall</w:t>
      </w:r>
      <w:r w:rsidR="00C959D1" w:rsidRPr="009D3F27">
        <w:rPr>
          <w:highlight w:val="red"/>
        </w:rPr>
        <w:t xml:space="preserve"> h</w:t>
      </w:r>
      <w:r w:rsidRPr="009D3F27">
        <w:rPr>
          <w:highlight w:val="red"/>
        </w:rPr>
        <w:t xml:space="preserve">ave a secure channel between them that can be used to exchange cryptographic keys without exposure to any intermediate parties. The cryptographic strength of the secure channel between the R0KH and R1KH </w:t>
      </w:r>
      <w:r w:rsidRPr="009D3F27">
        <w:rPr>
          <w:strike/>
          <w:highlight w:val="red"/>
        </w:rPr>
        <w:t>is assumed to</w:t>
      </w:r>
      <w:r w:rsidRPr="009D3F27">
        <w:rPr>
          <w:highlight w:val="red"/>
          <w:u w:val="single"/>
        </w:rPr>
        <w:t>shall</w:t>
      </w:r>
      <w:r w:rsidRPr="009D3F27">
        <w:rPr>
          <w:highlight w:val="red"/>
        </w:rPr>
        <w:t xml:space="preserve"> be greater than or equal to the cryptographic strength of the channels for which the keys are used. </w:t>
      </w:r>
      <w:r w:rsidR="00202D7E" w:rsidRPr="009D3F27">
        <w:rPr>
          <w:highlight w:val="red"/>
        </w:rPr>
        <w:t>T</w:t>
      </w:r>
      <w:r w:rsidR="00202D7E" w:rsidRPr="009D3F27">
        <w:rPr>
          <w:strike/>
          <w:highlight w:val="red"/>
        </w:rPr>
        <w:t>his standard assumes that t</w:t>
      </w:r>
      <w:r w:rsidRPr="009D3F27">
        <w:rPr>
          <w:highlight w:val="red"/>
        </w:rPr>
        <w:t xml:space="preserve">he key transfer includes the </w:t>
      </w:r>
      <w:r w:rsidR="00202D7E" w:rsidRPr="009D3F27">
        <w:rPr>
          <w:highlight w:val="red"/>
        </w:rPr>
        <w:t>PMK-R1, the PMK-R1 PMKSA, the PMK-R1 context, and the associated key authorizations.</w:t>
      </w:r>
    </w:p>
    <w:p w14:paraId="241E7943" w14:textId="73F6A67F" w:rsidR="00202D7E" w:rsidRPr="009D3F27" w:rsidRDefault="00202D7E" w:rsidP="00202D7E">
      <w:pPr>
        <w:rPr>
          <w:highlight w:val="red"/>
        </w:rPr>
      </w:pPr>
    </w:p>
    <w:p w14:paraId="585E3CCA" w14:textId="3A18F281" w:rsidR="00523024" w:rsidRPr="009D3F27" w:rsidRDefault="00523024" w:rsidP="00523024">
      <w:pPr>
        <w:rPr>
          <w:highlight w:val="red"/>
        </w:rPr>
      </w:pPr>
      <w:r w:rsidRPr="009D3F27">
        <w:rPr>
          <w:highlight w:val="red"/>
        </w:rPr>
        <w:t>3270.33: The PMK-R1 distribution from the R0KH to the R1KHs within the same mobility domain shall satisfy the following</w:t>
      </w:r>
      <w:r w:rsidRPr="009D3F27">
        <w:rPr>
          <w:strike/>
          <w:highlight w:val="red"/>
        </w:rPr>
        <w:t xml:space="preserve"> assumptions</w:t>
      </w:r>
      <w:r w:rsidRPr="009D3F27">
        <w:rPr>
          <w:highlight w:val="red"/>
        </w:rPr>
        <w:t>:</w:t>
      </w:r>
    </w:p>
    <w:p w14:paraId="0ACF8C4F" w14:textId="2F82BF70" w:rsidR="00523024" w:rsidRPr="009D3F27" w:rsidRDefault="00523024" w:rsidP="00202D7E">
      <w:pPr>
        <w:rPr>
          <w:highlight w:val="red"/>
        </w:rPr>
      </w:pPr>
    </w:p>
    <w:p w14:paraId="45F6F5A4" w14:textId="64ACFAA4" w:rsidR="00C959D1" w:rsidRPr="009D3F27" w:rsidRDefault="00C959D1" w:rsidP="00202D7E">
      <w:pPr>
        <w:rPr>
          <w:highlight w:val="red"/>
        </w:rPr>
      </w:pPr>
      <w:r w:rsidRPr="009D3F27">
        <w:rPr>
          <w:highlight w:val="red"/>
        </w:rPr>
        <w:t xml:space="preserve">3270.46: The S0KH and S1KH are entities that </w:t>
      </w:r>
      <w:r w:rsidRPr="009D3F27">
        <w:rPr>
          <w:strike/>
          <w:highlight w:val="red"/>
        </w:rPr>
        <w:t>are assumed to</w:t>
      </w:r>
      <w:r w:rsidRPr="009D3F27">
        <w:rPr>
          <w:highlight w:val="red"/>
        </w:rPr>
        <w:t xml:space="preserve"> </w:t>
      </w:r>
      <w:r w:rsidRPr="009D3F27">
        <w:rPr>
          <w:strike/>
          <w:highlight w:val="red"/>
        </w:rPr>
        <w:t>physically</w:t>
      </w:r>
      <w:r w:rsidRPr="009D3F27">
        <w:rPr>
          <w:highlight w:val="red"/>
        </w:rPr>
        <w:t xml:space="preserve"> reside in the Supplicant.</w:t>
      </w:r>
    </w:p>
    <w:p w14:paraId="4166C8B0" w14:textId="77777777" w:rsidR="00C959D1" w:rsidRPr="009D3F27" w:rsidRDefault="00C959D1" w:rsidP="00202D7E">
      <w:pPr>
        <w:rPr>
          <w:highlight w:val="red"/>
        </w:rPr>
      </w:pPr>
    </w:p>
    <w:p w14:paraId="33BC7BAC" w14:textId="09618216" w:rsidR="00E83F25" w:rsidRDefault="00E83F25" w:rsidP="00E83F25">
      <w:r w:rsidRPr="009D3F27">
        <w:rPr>
          <w:highlight w:val="red"/>
        </w:rPr>
        <w:t xml:space="preserve">3271.23: </w:t>
      </w:r>
      <w:r w:rsidRPr="009D3F27">
        <w:rPr>
          <w:strike/>
          <w:highlight w:val="red"/>
        </w:rPr>
        <w:t>NOTE—It is assumed by this standard that t</w:t>
      </w:r>
      <w:r w:rsidRPr="009D3F27">
        <w:rPr>
          <w:highlight w:val="red"/>
          <w:u w:val="single"/>
        </w:rPr>
        <w:t>T</w:t>
      </w:r>
      <w:r w:rsidRPr="009D3F27">
        <w:rPr>
          <w:highlight w:val="red"/>
        </w:rPr>
        <w:t xml:space="preserve">he Fast BSS Transition Policy bits in the MDE </w:t>
      </w:r>
      <w:r w:rsidRPr="009D3F27">
        <w:rPr>
          <w:strike/>
          <w:highlight w:val="red"/>
        </w:rPr>
        <w:t>are administered consistently</w:t>
      </w:r>
      <w:r w:rsidRPr="009D3F27">
        <w:rPr>
          <w:highlight w:val="red"/>
          <w:u w:val="single"/>
        </w:rPr>
        <w:t>shall be the same</w:t>
      </w:r>
      <w:r w:rsidRPr="009D3F27">
        <w:rPr>
          <w:highlight w:val="red"/>
        </w:rP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rsidRPr="009D3F27">
        <w:rPr>
          <w:highlight w:val="green"/>
        </w:rPr>
        <w:t xml:space="preserve">3335.63: The authenticated mesh peering exchange (AMPE) establishes an authenticated mesh peering between </w:t>
      </w:r>
      <w:r w:rsidRPr="009D3F27">
        <w:rPr>
          <w:strike/>
          <w:highlight w:val="green"/>
        </w:rPr>
        <w:t xml:space="preserve">the </w:t>
      </w:r>
      <w:r w:rsidRPr="009D3F27">
        <w:rPr>
          <w:highlight w:val="green"/>
        </w:rPr>
        <w:t>mesh STAs</w:t>
      </w:r>
      <w:r w:rsidRPr="009D3F27">
        <w:rPr>
          <w:strike/>
          <w:highlight w:val="green"/>
        </w:rPr>
        <w:t>, under the assumption</w:t>
      </w:r>
      <w:r w:rsidRPr="009D3F27">
        <w:rPr>
          <w:highlight w:val="green"/>
        </w:rPr>
        <w:t xml:space="preserve"> that</w:t>
      </w:r>
      <w:r w:rsidR="00523024" w:rsidRPr="009D3F27">
        <w:rPr>
          <w:highlight w:val="green"/>
          <w:u w:val="single"/>
        </w:rPr>
        <w:t xml:space="preserve"> have established a</w:t>
      </w:r>
      <w:r w:rsidRPr="009D3F27">
        <w:rPr>
          <w:highlight w:val="green"/>
        </w:rPr>
        <w:t xml:space="preserve"> mesh PMKSA</w:t>
      </w:r>
      <w:r w:rsidRPr="009D3F27">
        <w:rPr>
          <w:strike/>
          <w:highlight w:val="green"/>
        </w:rPr>
        <w:t xml:space="preserve"> has already been established</w:t>
      </w:r>
    </w:p>
    <w:p w14:paraId="173F2CB1" w14:textId="77777777" w:rsidR="0057586D" w:rsidRDefault="0057586D" w:rsidP="0057586D"/>
    <w:p w14:paraId="5D934889" w14:textId="1E38E596" w:rsidR="0057586D" w:rsidRDefault="0057586D" w:rsidP="0057586D">
      <w:r w:rsidRPr="009D3F27">
        <w:rPr>
          <w:highlight w:val="green"/>
        </w:rPr>
        <w:t>3336.4: The AMPE is also used to establish an authenticated peering between two APs that support the AP PeerKey protocol (as defined in 12.10 (AP PeerKey support))</w:t>
      </w:r>
      <w:r w:rsidR="00523024" w:rsidRPr="009D3F27">
        <w:rPr>
          <w:highlight w:val="green"/>
          <w:u w:val="single"/>
        </w:rPr>
        <w:t xml:space="preserve"> and that have established</w:t>
      </w:r>
      <w:r w:rsidRPr="009D3F27">
        <w:rPr>
          <w:strike/>
          <w:highlight w:val="green"/>
        </w:rPr>
        <w:t xml:space="preserve"> under the assumption that</w:t>
      </w:r>
      <w:r w:rsidRPr="009D3F27">
        <w:rPr>
          <w:highlight w:val="green"/>
        </w:rPr>
        <w:t xml:space="preserve"> a PMK and PMKID</w:t>
      </w:r>
      <w:r w:rsidRPr="009D3F27">
        <w:rPr>
          <w:strike/>
          <w:highlight w:val="green"/>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rsidRPr="00387BDC">
        <w:rPr>
          <w:highlight w:val="green"/>
        </w:rPr>
        <w:t>REVISED</w:t>
      </w:r>
    </w:p>
    <w:p w14:paraId="2E387E7B" w14:textId="77777777" w:rsidR="00202D7E" w:rsidRDefault="00202D7E" w:rsidP="00202D7E"/>
    <w:p w14:paraId="4858EF6D" w14:textId="5FC1DC8A" w:rsidR="00202D7E" w:rsidRDefault="00202D7E" w:rsidP="00202D7E">
      <w:r>
        <w:t xml:space="preserve">Make the changes shown under “Proposed changes” </w:t>
      </w:r>
      <w:r w:rsidR="009D3F27">
        <w:t xml:space="preserve">highlighted in green </w:t>
      </w:r>
      <w:r>
        <w:t xml:space="preserve">for CID </w:t>
      </w:r>
      <w:r w:rsidR="00991284">
        <w:t>1398</w:t>
      </w:r>
      <w:r w:rsidR="003D2C19">
        <w:t>,</w:t>
      </w:r>
      <w:r w:rsidR="00F64C19">
        <w:t xml:space="preserve"> 1397</w:t>
      </w:r>
      <w:r w:rsidR="003D2C19">
        <w:t xml:space="preserve"> and 1794</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r>
        <w:t>Actually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1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7F099EBC"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w:t>
      </w:r>
      <w:r w:rsidR="00850351">
        <w:rPr>
          <w:u w:val="single"/>
        </w:rPr>
        <w:t xml:space="preserve">equal to </w:t>
      </w:r>
      <w:r w:rsidR="002154FE" w:rsidRPr="002154FE">
        <w:rPr>
          <w:u w:val="single"/>
        </w:rPr>
        <w:t>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r w:rsidRPr="002154FE">
        <w:rPr>
          <w:strike/>
        </w:rPr>
        <w:t>p</w:t>
      </w:r>
      <w:r w:rsidR="002154FE" w:rsidRPr="002154FE">
        <w:rPr>
          <w:u w:val="single"/>
        </w:rPr>
        <w:t>P</w:t>
      </w:r>
      <w:r w:rsidRPr="00E55916">
        <w:t xml:space="preserve">rotocol </w:t>
      </w:r>
      <w:r w:rsidRPr="002154FE">
        <w:rPr>
          <w:strike/>
        </w:rPr>
        <w:t>v</w:t>
      </w:r>
      <w:r w:rsidR="002154FE" w:rsidRPr="002154FE">
        <w:rPr>
          <w:u w:val="single"/>
        </w:rPr>
        <w:t>V</w:t>
      </w:r>
      <w:r w:rsidRPr="00E55916">
        <w:t>ersion field</w:t>
      </w:r>
      <w:r w:rsidR="002154FE">
        <w:rPr>
          <w:u w:val="single"/>
        </w:rPr>
        <w:t xml:space="preserve"> of the EAPOL PDU</w:t>
      </w:r>
      <w:r w:rsidR="00022CE2">
        <w:rPr>
          <w:u w:val="single"/>
        </w:rPr>
        <w:t xml:space="preserve"> (see Figure 12-33)</w:t>
      </w:r>
      <w:r w:rsidRPr="00E55916">
        <w:t xml:space="preserve"> to and including the Key Data field, calculated with the Key MIC field set</w:t>
      </w:r>
      <w:r w:rsidR="002154FE">
        <w:t xml:space="preserve"> </w:t>
      </w:r>
      <w:r w:rsidRPr="00E55916">
        <w:t>to 0. If the Encrypted Key Data subfield (of the Key Information field) is</w:t>
      </w:r>
      <w:r w:rsidR="00850351">
        <w:rPr>
          <w:u w:val="single"/>
        </w:rPr>
        <w:t xml:space="preserve"> equal to</w:t>
      </w:r>
      <w:r w:rsidRPr="00E55916">
        <w:t xml:space="preserve"> 1,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r w:rsidR="00850351">
        <w:rPr>
          <w:u w:val="single"/>
        </w:rPr>
        <w:t xml:space="preserve">equal to </w:t>
      </w:r>
      <w:r w:rsidR="002154FE" w:rsidRPr="002154FE">
        <w:rPr>
          <w:u w:val="single"/>
        </w:rPr>
        <w:t xml:space="preserve">0, the Key MIC field is </w:t>
      </w:r>
      <w:r w:rsidR="00850351">
        <w:rPr>
          <w:u w:val="single"/>
        </w:rPr>
        <w:t xml:space="preserve">set to </w:t>
      </w:r>
      <w:r w:rsidR="002154FE" w:rsidRPr="002154FE">
        <w:rPr>
          <w:u w:val="single"/>
        </w:rPr>
        <w:t>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rsidRPr="00823BD6">
        <w:rPr>
          <w:highlight w:val="green"/>
        </w:rP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The RSC is the value of the PN(/IPN/BIPN/</w:t>
      </w:r>
      <w:r w:rsidR="00243AAB">
        <w:t>WIPN/</w:t>
      </w:r>
      <w:r>
        <w:t>TSC) at the transmitter.  At the receiver, this is put into a replay counter, which is then compared with subsequent PNs(/etc.).</w:t>
      </w:r>
    </w:p>
    <w:p w14:paraId="036FD216" w14:textId="78C38E7B" w:rsidR="00F810E5" w:rsidRDefault="00F810E5" w:rsidP="00991284"/>
    <w:p w14:paraId="013DFA07" w14:textId="145533E5" w:rsidR="00F810E5" w:rsidRDefault="00F810E5" w:rsidP="00991284">
      <w:r>
        <w:t>Also</w:t>
      </w:r>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r>
        <w:t>Also,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r>
        <w:t xml:space="preserve">418.60: </w:t>
      </w:r>
      <w:r w:rsidRPr="00991284">
        <w:rPr>
          <w:strike/>
        </w:rPr>
        <w:t xml:space="preserve">The </w:t>
      </w:r>
      <w:r w:rsidRPr="00991284">
        <w:t xml:space="preserve">KDE(s) and the </w:t>
      </w:r>
      <w:r w:rsidRPr="00991284">
        <w:rPr>
          <w:strike/>
        </w:rPr>
        <w:t>Key</w:t>
      </w:r>
      <w:r>
        <w:rPr>
          <w:u w:val="single"/>
        </w:rPr>
        <w:t>current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r w:rsidRPr="00991284">
        <w:rPr>
          <w:strike/>
        </w:rPr>
        <w:t>Key</w:t>
      </w:r>
      <w:r>
        <w:rPr>
          <w:u w:val="single"/>
        </w:rPr>
        <w:t>GTK</w:t>
      </w:r>
      <w:r w:rsidRPr="00991284">
        <w:t xml:space="preserve"> RSC.</w:t>
      </w:r>
    </w:p>
    <w:p w14:paraId="23EBB2EA" w14:textId="7EE92C73" w:rsidR="00991284" w:rsidRPr="00F32CCD" w:rsidRDefault="00991284" w:rsidP="00991284">
      <w:pPr>
        <w:rPr>
          <w:u w:val="single"/>
        </w:rPr>
      </w:pPr>
      <w:r>
        <w:t xml:space="preserve">490.23: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r w:rsidRPr="00CD757B">
        <w:rPr>
          <w:strike/>
        </w:rPr>
        <w:t>RSC</w:t>
      </w:r>
      <w:r w:rsidR="00CD757B">
        <w:rPr>
          <w:u w:val="single"/>
        </w:rPr>
        <w:t>replay counter</w:t>
      </w:r>
      <w:r w:rsidRPr="00991284">
        <w:t>(s)</w:t>
      </w:r>
      <w:r w:rsidRPr="00F32CCD">
        <w:rPr>
          <w:strike/>
        </w:rPr>
        <w:t xml:space="preserve"> is initialized</w:t>
      </w:r>
      <w:r w:rsidRPr="00991284">
        <w:t>.</w:t>
      </w:r>
    </w:p>
    <w:p w14:paraId="2D315D20" w14:textId="00F372F2" w:rsidR="00991284" w:rsidRDefault="00C71B0C" w:rsidP="00991284">
      <w:r>
        <w:t xml:space="preserve">1360.58: </w:t>
      </w:r>
      <w:r w:rsidRPr="00C71B0C">
        <w:t xml:space="preserve">For WEP, the RSC </w:t>
      </w:r>
      <w:r w:rsidRPr="00C71B0C">
        <w:rPr>
          <w:strike/>
        </w:rPr>
        <w:t>value</w:t>
      </w:r>
      <w:r>
        <w:rPr>
          <w:u w:val="single"/>
        </w:rPr>
        <w:t>field</w:t>
      </w:r>
      <w:r w:rsidRPr="00C71B0C">
        <w:t xml:space="preserve"> is reserved.</w:t>
      </w:r>
    </w:p>
    <w:p w14:paraId="4999680D" w14:textId="25706E77" w:rsidR="00C71B0C" w:rsidRPr="00905938" w:rsidRDefault="00C71B0C" w:rsidP="00C71B0C">
      <w:pPr>
        <w:rPr>
          <w:strike/>
        </w:rPr>
      </w:pPr>
      <w:r>
        <w:t xml:space="preserve">1585.30: The Key Delivery element contains the current </w:t>
      </w:r>
      <w:r w:rsidRPr="00C71B0C">
        <w:rPr>
          <w:strike/>
        </w:rPr>
        <w:t>Key</w:t>
      </w:r>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8A91897" w14:textId="68E64307" w:rsidR="00C71B0C" w:rsidRDefault="002068AD" w:rsidP="00C71B0C">
      <w:r>
        <w:t xml:space="preserve">1956.20: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r w:rsidRPr="00C71B0C">
        <w:rPr>
          <w:strike/>
        </w:rPr>
        <w:t>Key</w:t>
      </w:r>
      <w:r>
        <w:t>RSC</w:t>
      </w:r>
    </w:p>
    <w:p w14:paraId="5F601E0F" w14:textId="17183083" w:rsidR="00C71B0C" w:rsidRDefault="002068AD" w:rsidP="00C71B0C">
      <w:r>
        <w:t xml:space="preserve">3214.53: </w:t>
      </w:r>
      <w:r w:rsidRPr="002068AD">
        <w:rPr>
          <w:strike/>
        </w:rPr>
        <w:t>Key</w:t>
      </w:r>
      <w:r w:rsidR="00D31270">
        <w:t>RSC</w:t>
      </w:r>
      <w:r w:rsidR="00D31270">
        <w:tab/>
      </w:r>
      <w:r w:rsidRPr="002068AD">
        <w:t xml:space="preserve">is the </w:t>
      </w:r>
      <w:r w:rsidRPr="002068AD">
        <w:rPr>
          <w:strike/>
        </w:rPr>
        <w:t xml:space="preserve">key </w:t>
      </w:r>
      <w:r w:rsidRPr="002068AD">
        <w:t>RSC</w:t>
      </w:r>
    </w:p>
    <w:p w14:paraId="7A03623A" w14:textId="38A1C5F4" w:rsidR="002068AD" w:rsidRDefault="002068AD" w:rsidP="002068AD">
      <w:r>
        <w:t xml:space="preserve">3226.18/24: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the current IGTK and IPN if management frame protection is enabled, and the current BIGTK and BIPN if beacon protection is enabled(11ba), and the current WIGTK and WIPN if WUR frame protection is enabled.</w:t>
      </w:r>
    </w:p>
    <w:p w14:paraId="1536DD1E" w14:textId="6EB3E029" w:rsidR="00C71B0C" w:rsidRDefault="002068AD" w:rsidP="002068AD">
      <w:r>
        <w:t xml:space="preserve">3266.46: The STA installs the GTK and </w:t>
      </w:r>
      <w:r w:rsidRPr="002068AD">
        <w:rPr>
          <w:strike/>
        </w:rPr>
        <w:t>key</w:t>
      </w:r>
      <w:r w:rsidRPr="002068AD">
        <w:rPr>
          <w:u w:val="single"/>
        </w:rPr>
        <w:t>GTK</w:t>
      </w:r>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r>
        <w:t xml:space="preserve">1480.4: contains the bit string of {GTK || </w:t>
      </w:r>
      <w:r w:rsidRPr="00C71B0C">
        <w:rPr>
          <w:strike/>
        </w:rPr>
        <w:t xml:space="preserve">Key </w:t>
      </w:r>
      <w:r>
        <w:t xml:space="preserve">RSC || GTKExpirationTime} as the GTK data material. When present, the GTKdata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r>
        <w:t xml:space="preserve">1585.37: </w:t>
      </w:r>
      <w:r w:rsidRPr="00C71B0C">
        <w:rPr>
          <w:strike/>
        </w:rPr>
        <w:t xml:space="preserve">Key </w:t>
      </w:r>
      <w:r>
        <w:t>RSC</w:t>
      </w:r>
    </w:p>
    <w:p w14:paraId="271D12A6" w14:textId="6EEB7646" w:rsidR="00C71B0C" w:rsidRDefault="00F810E5" w:rsidP="00C71B0C">
      <w:r>
        <w:t xml:space="preserve">1585.46: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r>
        <w:t xml:space="preserve">3204.53: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r>
        <w:t xml:space="preserve">3214.53: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r>
        <w:t xml:space="preserve">3338.31: The GTKdata subfield in the Authenticated Mesh Peering Exchange element shall contain the MGTK concatenated with the </w:t>
      </w:r>
      <w:r w:rsidRPr="00D31270">
        <w:rPr>
          <w:strike/>
        </w:rPr>
        <w:t xml:space="preserve">Key </w:t>
      </w:r>
      <w:r>
        <w:t>RSC and the GTKExpirationTime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r>
        <w:t>1360.51: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r>
        <w:t xml:space="preserve">1362.29: </w:t>
      </w:r>
      <w:r w:rsidRPr="004B128D">
        <w:t xml:space="preserve">The WIPN field </w:t>
      </w:r>
      <w:r w:rsidRPr="00943939">
        <w:rPr>
          <w:strike/>
        </w:rPr>
        <w:t>indicates</w:t>
      </w:r>
      <w:r>
        <w:rPr>
          <w:u w:val="single"/>
        </w:rPr>
        <w:t>contains</w:t>
      </w:r>
      <w:r w:rsidRPr="004B128D">
        <w:t xml:space="preserve"> the </w:t>
      </w:r>
      <w:r>
        <w:rPr>
          <w:u w:val="single"/>
        </w:rPr>
        <w:t xml:space="preserve">current </w:t>
      </w:r>
      <w:r w:rsidRPr="004B128D">
        <w:rPr>
          <w:strike/>
        </w:rPr>
        <w:t>receive sequence counter</w:t>
      </w:r>
      <w:r>
        <w:rPr>
          <w:u w:val="single"/>
        </w:rPr>
        <w:t>RSC</w:t>
      </w:r>
      <w:r w:rsidRPr="004B128D">
        <w:t xml:space="preserve"> for the WIGTK being installed</w:t>
      </w:r>
    </w:p>
    <w:p w14:paraId="32030CC1" w14:textId="77777777" w:rsidR="00943939" w:rsidRDefault="00943939" w:rsidP="00943939">
      <w:r>
        <w:t>1585.46: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rsidRPr="00970D86">
        <w:rPr>
          <w:highlight w:val="green"/>
        </w:rPr>
        <w:t>REVISED</w:t>
      </w:r>
    </w:p>
    <w:p w14:paraId="46834D49" w14:textId="77777777" w:rsidR="00991284" w:rsidRDefault="00991284" w:rsidP="00991284"/>
    <w:p w14:paraId="3638CB7D" w14:textId="327DB41F" w:rsidR="00991284" w:rsidRDefault="00991284" w:rsidP="00991284">
      <w:r>
        <w:t>Make the changes shown under “Proposed changes” for CID 1406</w:t>
      </w:r>
      <w:r w:rsidR="007C5775">
        <w:t>, 1814, 2136, 2149, 2151</w:t>
      </w:r>
      <w:r>
        <w:t xml:space="preserve"> in &lt;this document&gt;, which make changes</w:t>
      </w:r>
      <w:r w:rsidR="007C5775">
        <w:t xml:space="preserve"> in the direction suggested</w:t>
      </w:r>
      <w:r>
        <w:t>.</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fact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in group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The issue with Clause 6 is that it is not sufficiently clear that in the case of Key Type Pairwise or PeerKey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the definitions of BIGTK, GMK, IGTK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w:t>
      </w:r>
      <w:r w:rsidRPr="00DD148D">
        <w:rPr>
          <w:b/>
          <w:strike/>
        </w:rPr>
        <w:t xml:space="preserve"> (GTK)</w:t>
      </w:r>
      <w:r w:rsidRPr="003C6808">
        <w:rPr>
          <w:b/>
        </w:rPr>
        <w:t>:</w:t>
      </w:r>
      <w:r>
        <w:t xml:space="preserve"> A temporal key that is used to protect information exchanged in group addressed </w:t>
      </w:r>
      <w:r w:rsidRPr="001320E9">
        <w:rPr>
          <w:strike/>
        </w:rPr>
        <w:t xml:space="preserve">Data </w:t>
      </w:r>
      <w:r>
        <w:t>frames.</w:t>
      </w:r>
    </w:p>
    <w:p w14:paraId="01683495" w14:textId="77777777" w:rsidR="004E26F6" w:rsidRDefault="004E26F6" w:rsidP="00236910">
      <w:pPr>
        <w:ind w:left="720"/>
        <w:rPr>
          <w:u w:val="single"/>
        </w:rPr>
      </w:pPr>
    </w:p>
    <w:p w14:paraId="4D071872" w14:textId="48A11013" w:rsidR="001320E9" w:rsidRPr="00F272DF" w:rsidRDefault="004E26F6" w:rsidP="00236910">
      <w:pPr>
        <w:ind w:left="720"/>
        <w:rPr>
          <w:u w:val="single"/>
        </w:rPr>
      </w:pPr>
      <w:r w:rsidRPr="00F272DF">
        <w:rPr>
          <w:b/>
          <w:u w:val="single"/>
        </w:rPr>
        <w:t xml:space="preserve">group temporal key (GTK): </w:t>
      </w:r>
      <w:r w:rsidRPr="00F272DF">
        <w:rPr>
          <w:u w:val="single"/>
        </w:rPr>
        <w:t>T</w:t>
      </w:r>
      <w:r w:rsidR="001320E9" w:rsidRPr="00F272DF">
        <w:rPr>
          <w:u w:val="single"/>
        </w:rPr>
        <w:t xml:space="preserve">he </w:t>
      </w:r>
      <w:r w:rsidRPr="00F272DF">
        <w:rPr>
          <w:u w:val="single"/>
        </w:rPr>
        <w:t xml:space="preserve">group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in </w:t>
      </w:r>
      <w:r w:rsidR="001320E9" w:rsidRPr="00F272DF">
        <w:rPr>
          <w:u w:val="single"/>
        </w:rPr>
        <w:t>group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or t</w:t>
      </w:r>
      <w:r w:rsidRPr="00CF7E36">
        <w:rPr>
          <w:strike/>
        </w:rPr>
        <w:t>T</w:t>
      </w:r>
      <w:r>
        <w:t>he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494.36, 751.30, 752.17</w:t>
      </w:r>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group key</w:t>
      </w:r>
      <w:r>
        <w:rPr>
          <w:u w:val="single"/>
        </w:rPr>
        <w:t>GTK</w:t>
      </w:r>
      <w:r>
        <w:t xml:space="preserve">, </w:t>
      </w:r>
    </w:p>
    <w:p w14:paraId="2D30B7F9" w14:textId="5E46732A" w:rsidR="00236910" w:rsidRDefault="00236910" w:rsidP="00236910">
      <w:pPr>
        <w:ind w:left="720"/>
      </w:pPr>
      <w:r w:rsidRPr="00236910">
        <w:rPr>
          <w:strike/>
        </w:rPr>
        <w:t>pairwise key</w:t>
      </w:r>
      <w:r w:rsidRPr="00236910">
        <w:rPr>
          <w:u w:val="single"/>
        </w:rPr>
        <w:t>TK</w:t>
      </w:r>
      <w:r>
        <w:t xml:space="preserve">, </w:t>
      </w:r>
      <w:r w:rsidRPr="00236910">
        <w:rPr>
          <w:strike/>
        </w:rPr>
        <w:t>PeerKey</w:t>
      </w:r>
      <w:r>
        <w:rPr>
          <w:u w:val="single"/>
        </w:rPr>
        <w:t>TPK-TK</w:t>
      </w:r>
      <w:r>
        <w:t xml:space="preserve">, </w:t>
      </w:r>
      <w:r w:rsidRPr="00236910">
        <w:rPr>
          <w:strike/>
        </w:rPr>
        <w:t>integrity group key</w:t>
      </w:r>
      <w:r>
        <w:rPr>
          <w:u w:val="single"/>
        </w:rPr>
        <w:t>IGTK</w:t>
      </w:r>
      <w:r>
        <w:t xml:space="preserve">, </w:t>
      </w:r>
    </w:p>
    <w:p w14:paraId="410E9E54" w14:textId="5D2C2C6A" w:rsidR="00236910" w:rsidRPr="00236910" w:rsidRDefault="00236910" w:rsidP="00236910">
      <w:pPr>
        <w:ind w:left="720"/>
        <w:rPr>
          <w:strike/>
        </w:rPr>
      </w:pPr>
      <w:r w:rsidRPr="00236910">
        <w:rPr>
          <w:strike/>
        </w:rPr>
        <w:t>beacon protection key</w:t>
      </w:r>
      <w:r>
        <w:rPr>
          <w:u w:val="single"/>
        </w:rPr>
        <w:t>BIGTK</w:t>
      </w:r>
      <w:r>
        <w:t xml:space="preserve">, or </w:t>
      </w:r>
      <w:r w:rsidRPr="00236910">
        <w:rPr>
          <w:strike/>
        </w:rPr>
        <w:t xml:space="preserve">wake-up radio </w:t>
      </w:r>
    </w:p>
    <w:p w14:paraId="56B7065B" w14:textId="7D99F0FA" w:rsidR="00236910" w:rsidRDefault="00236910" w:rsidP="00236910">
      <w:pPr>
        <w:ind w:left="720"/>
      </w:pPr>
      <w:r w:rsidRPr="00236910">
        <w:rPr>
          <w:strike/>
        </w:rPr>
        <w:t>integrity group temporal key</w:t>
      </w:r>
      <w:r>
        <w:rPr>
          <w:u w:val="single"/>
        </w:rPr>
        <w:t>WIGTK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285EF2E4" w:rsidR="004E26F6" w:rsidRDefault="004E26F6" w:rsidP="003C6808">
      <w:r w:rsidRPr="004E26F6">
        <w:t>Change</w:t>
      </w:r>
      <w:r>
        <w:t xml:space="preserve"> “G</w:t>
      </w:r>
      <w:r w:rsidR="00B25F6A">
        <w:t>roup Key” to “group key” at 3093.57/</w:t>
      </w:r>
      <w:r>
        <w:t>6</w:t>
      </w:r>
      <w:r w:rsidR="00B25F6A">
        <w:t>1, adding “the ” before the latter:</w:t>
      </w:r>
    </w:p>
    <w:p w14:paraId="0026E95F" w14:textId="22824BA5" w:rsidR="00B25F6A" w:rsidRDefault="00B25F6A" w:rsidP="003C6808"/>
    <w:p w14:paraId="7B9CAF69" w14:textId="3E419BA9" w:rsidR="00B25F6A" w:rsidRDefault="00B25F6A" w:rsidP="00B25F6A">
      <w:pPr>
        <w:ind w:left="720"/>
      </w:pPr>
      <w:r>
        <w:t>In an infrastructure BSS, the STAs with emergency services association sho</w:t>
      </w:r>
      <w:r w:rsidR="000D62C0">
        <w:t xml:space="preserve">uld discard all group </w:t>
      </w:r>
      <w:r>
        <w:t xml:space="preserve">addressed </w:t>
      </w:r>
      <w:r>
        <w:t xml:space="preserve">frames they receive, as they do not possess the </w:t>
      </w:r>
      <w:r w:rsidRPr="00B25F6A">
        <w:rPr>
          <w:highlight w:val="yellow"/>
        </w:rPr>
        <w:t>Group Key</w:t>
      </w:r>
      <w:r>
        <w:t xml:space="preserve"> and therefore are not able to decrypt </w:t>
      </w:r>
      <w:bookmarkStart w:id="7" w:name="_GoBack"/>
      <w:bookmarkEnd w:id="7"/>
      <w:r>
        <w:t>group</w:t>
      </w:r>
      <w:r>
        <w:t xml:space="preserve"> </w:t>
      </w:r>
      <w:r>
        <w:t>addressed frames. In an RSNA enabled BSS that has one or more STAs associated with an emergency services</w:t>
      </w:r>
      <w:r>
        <w:t xml:space="preserve"> </w:t>
      </w:r>
      <w:r>
        <w:t>association, an AP should avoid transmitting unprotected group addressed frames in order not to disturb the</w:t>
      </w:r>
      <w:r>
        <w:t xml:space="preserve"> </w:t>
      </w:r>
      <w:r>
        <w:t xml:space="preserve">operation of STAs that are in possession of </w:t>
      </w:r>
      <w:r w:rsidRPr="00B25F6A">
        <w:rPr>
          <w:highlight w:val="yellow"/>
        </w:rPr>
        <w:t>Group Key</w:t>
      </w:r>
      <w:r>
        <w:t>.</w:t>
      </w:r>
    </w:p>
    <w:p w14:paraId="3D08BA2F" w14:textId="77777777" w:rsidR="00B25F6A" w:rsidRDefault="00B25F6A" w:rsidP="003C6808"/>
    <w:p w14:paraId="5BC314FF" w14:textId="0D024254" w:rsidR="004E26F6" w:rsidRDefault="004E26F6" w:rsidP="003C6808">
      <w:r>
        <w:t>Change “the Gro</w:t>
      </w:r>
      <w:r w:rsidR="00B25F6A">
        <w:t>upKey” to “a group key” at 3209.29/33:</w:t>
      </w:r>
    </w:p>
    <w:p w14:paraId="17A39C57" w14:textId="61CE46EF" w:rsidR="00B25F6A" w:rsidRDefault="00B25F6A" w:rsidP="003C6808"/>
    <w:p w14:paraId="23BA2527" w14:textId="2730FED6" w:rsidR="00B25F6A" w:rsidRDefault="00B25F6A" w:rsidP="00B25F6A">
      <w:pPr>
        <w:ind w:left="720"/>
      </w:pPr>
      <w:r>
        <w:t>Key Data fields that are encrypted, but do not</w:t>
      </w:r>
      <w:r>
        <w:t xml:space="preserve"> contain </w:t>
      </w:r>
      <w:r w:rsidRPr="00B25F6A">
        <w:rPr>
          <w:highlight w:val="yellow"/>
        </w:rPr>
        <w:t>the GroupKey</w:t>
      </w:r>
      <w:r>
        <w:t xml:space="preserve">, shall be </w:t>
      </w:r>
      <w:r>
        <w:t>accepted.</w:t>
      </w:r>
    </w:p>
    <w:p w14:paraId="41842028" w14:textId="56F9C3EF" w:rsidR="00B25F6A" w:rsidRDefault="00B25F6A" w:rsidP="00B25F6A">
      <w:pPr>
        <w:ind w:left="720"/>
      </w:pPr>
      <w:r>
        <w:t xml:space="preserve">If </w:t>
      </w:r>
      <w:r w:rsidRPr="00B25F6A">
        <w:rPr>
          <w:highlight w:val="yellow"/>
        </w:rPr>
        <w:t>the GroupKey</w:t>
      </w:r>
      <w:r>
        <w:t xml:space="preserve"> is included in the Key Data field, but the Key Data field is not encrypted, the EAPOL-Key</w:t>
      </w:r>
      <w:r>
        <w:t xml:space="preserve"> </w:t>
      </w:r>
      <w:r>
        <w:t>frames shall be ignored.</w:t>
      </w:r>
    </w:p>
    <w:p w14:paraId="5E2494A2" w14:textId="77777777" w:rsidR="00B25F6A" w:rsidRPr="004E26F6" w:rsidRDefault="00B25F6A" w:rsidP="003C6808"/>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t>REVISED</w:t>
      </w:r>
    </w:p>
    <w:p w14:paraId="2E6EAE9B" w14:textId="77777777" w:rsidR="003C6808" w:rsidRDefault="003C6808" w:rsidP="003C6808"/>
    <w:p w14:paraId="48BA4A1F" w14:textId="46355A2B" w:rsidR="00B65DA3" w:rsidRDefault="003C6808" w:rsidP="00991284">
      <w:r>
        <w:lastRenderedPageBreak/>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r>
        <w:t>T</w:t>
      </w:r>
      <w:r w:rsidR="00E03431">
        <w:t>he resolution of CID 177 was missed from D1.0</w:t>
      </w:r>
      <w:r>
        <w:t xml:space="preserve"> </w:t>
      </w:r>
      <w:r w:rsidR="00C50F95">
        <w:t>(or did we agree it after D1</w:t>
      </w:r>
      <w:r>
        <w:t>.0 was out?).</w:t>
      </w:r>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using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t>REVISED</w:t>
      </w:r>
    </w:p>
    <w:p w14:paraId="74FD2CAC" w14:textId="77777777" w:rsidR="00B65DA3" w:rsidRDefault="00B65DA3" w:rsidP="00B65DA3"/>
    <w:p w14:paraId="20EFB5ED" w14:textId="42043B88"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t>ACCEPTED</w:t>
      </w:r>
    </w:p>
    <w:p w14:paraId="7FA05CD5" w14:textId="77777777" w:rsidR="00434AD2" w:rsidRDefault="00434AD2" w:rsidP="00991284"/>
    <w:p w14:paraId="46940E88" w14:textId="77777777"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0B3AA6">
        <w:tc>
          <w:tcPr>
            <w:tcW w:w="180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0B3AA6">
        <w:tc>
          <w:tcPr>
            <w:tcW w:w="180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Decrement the backoff counter.</w:t>
            </w:r>
          </w:p>
          <w:p w14:paraId="11269EEC" w14:textId="77777777" w:rsidR="00B95619" w:rsidRDefault="00B95619" w:rsidP="00B95619">
            <w:r>
              <w:t>-- Initiate a TXOP.</w:t>
            </w:r>
          </w:p>
          <w:p w14:paraId="11AB7F15" w14:textId="77777777" w:rsidR="00B95619" w:rsidRDefault="00B95619" w:rsidP="00B95619">
            <w:r>
              <w:t>-- Invoke the backoff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delete "e) Restart the channel access attempt by invoking the backoff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indicated by either physical or virtual CS and the backoff counter has a value of 0.", reletter the following bullets and then after the list add:</w:t>
            </w:r>
          </w:p>
          <w:p w14:paraId="7ED4753B" w14:textId="3392BA9B" w:rsidR="00B95619" w:rsidRPr="002C1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2F877D1" w14:textId="77777777" w:rsidTr="000B3AA6">
        <w:tc>
          <w:tcPr>
            <w:tcW w:w="180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Decrement the backoff counter.</w:t>
            </w:r>
          </w:p>
          <w:p w14:paraId="0D9070F1" w14:textId="77777777" w:rsidR="00B95619" w:rsidRDefault="00B95619" w:rsidP="00B95619">
            <w:r>
              <w:t>-- Initiate a TXOP.</w:t>
            </w:r>
          </w:p>
          <w:p w14:paraId="794994F4" w14:textId="77777777" w:rsidR="00B95619" w:rsidRDefault="00B95619" w:rsidP="00B95619">
            <w:r>
              <w:t>-- Invoke the backoff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[list of things; delete doing a backoff if present in the list...]</w:t>
            </w:r>
          </w:p>
          <w:p w14:paraId="140B5CEC" w14:textId="76437356" w:rsidR="00B95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86CBB35" w14:textId="77777777" w:rsidTr="000B3AA6">
        <w:tc>
          <w:tcPr>
            <w:tcW w:w="180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is incompatible with 10.23.2.5/6/13/14's permission to "Restart the channel access attempt by invoking the backoff procedure".</w:t>
            </w:r>
          </w:p>
        </w:tc>
        <w:tc>
          <w:tcPr>
            <w:tcW w:w="3384" w:type="dxa"/>
          </w:tcPr>
          <w:p w14:paraId="11C96262" w14:textId="7632373A" w:rsidR="00B95619" w:rsidRDefault="00B95619" w:rsidP="00B95619">
            <w:r>
              <w:t>Delete "Restart the channel access attempt by invoking the backoff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indicated by either physical or virtual CS and the backoff counter has a value of 0." at 2210.51</w:t>
            </w:r>
          </w:p>
        </w:tc>
      </w:tr>
      <w:tr w:rsidR="00B95619" w:rsidRPr="002C1619" w14:paraId="75E3B04C" w14:textId="77777777" w:rsidTr="000B3AA6">
        <w:tc>
          <w:tcPr>
            <w:tcW w:w="180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"g) If explicitly indicated, such as in 26.17.2.3.3 (Non-AP STA scanning behavior)" should also cover the permission to do a backoff even if you're permitted/required to start a TXOP ("Restart the channel access attempt by invoking the backoff procedure as specified in 10.23.2")</w:t>
            </w:r>
          </w:p>
        </w:tc>
        <w:tc>
          <w:tcPr>
            <w:tcW w:w="3384" w:type="dxa"/>
          </w:tcPr>
          <w:p w14:paraId="5235D2C5" w14:textId="43D932F0" w:rsidR="00B95619" w:rsidRDefault="00B95619" w:rsidP="00B95619">
            <w:r w:rsidRPr="00B95619">
              <w:t>As it says in the comment</w:t>
            </w:r>
          </w:p>
        </w:tc>
      </w:tr>
      <w:tr w:rsidR="00BD0512" w:rsidRPr="002C1619" w14:paraId="3BD6FF5A" w14:textId="77777777" w:rsidTr="000B3AA6">
        <w:tc>
          <w:tcPr>
            <w:tcW w:w="1809" w:type="dxa"/>
          </w:tcPr>
          <w:p w14:paraId="4B4FCD7C" w14:textId="77777777" w:rsidR="00BD0512" w:rsidRDefault="00BD0512" w:rsidP="000B3AA6">
            <w:r>
              <w:t>CID 2187</w:t>
            </w:r>
          </w:p>
          <w:p w14:paraId="76FF00FE" w14:textId="77777777" w:rsidR="00BD0512" w:rsidRDefault="00BD0512" w:rsidP="000B3AA6">
            <w:r>
              <w:t>Michail KOUNDOURAKIS</w:t>
            </w:r>
          </w:p>
          <w:p w14:paraId="0CB5B3EB" w14:textId="77777777" w:rsidR="00BD0512" w:rsidRDefault="00BD0512" w:rsidP="000B3AA6">
            <w:r w:rsidRPr="00BD0512">
              <w:t>10.23.2.5</w:t>
            </w:r>
          </w:p>
          <w:p w14:paraId="4C0D6096" w14:textId="177C4A0E" w:rsidR="00BD0512" w:rsidRDefault="00BD0512" w:rsidP="000B3AA6">
            <w:r>
              <w:t>2210.51</w:t>
            </w:r>
          </w:p>
        </w:tc>
        <w:tc>
          <w:tcPr>
            <w:tcW w:w="4383" w:type="dxa"/>
          </w:tcPr>
          <w:p w14:paraId="28F6A6DE" w14:textId="05CC41FA" w:rsidR="00BD0512" w:rsidRDefault="00BD0512" w:rsidP="00BD0512">
            <w:r>
              <w:t>It seems unfair that the STA has to do a new backoff if it chooses to not</w:t>
            </w:r>
          </w:p>
          <w:p w14:paraId="196C6DB0" w14:textId="77777777" w:rsidR="00BD0512" w:rsidRDefault="00BD0512" w:rsidP="00BD0512">
            <w:r>
              <w:t xml:space="preserve"> reduce its intended transmission bandwidth, for any reason (action e).</w:t>
            </w:r>
          </w:p>
          <w:p w14:paraId="6FB8C703" w14:textId="77777777" w:rsidR="00BD0512" w:rsidRDefault="00BD0512" w:rsidP="00BD0512">
            <w:r>
              <w:t>For example the STA wants to transmit a 160MHz MSDU/PPDU which fits</w:t>
            </w:r>
          </w:p>
          <w:p w14:paraId="1EB7A245" w14:textId="77777777" w:rsidR="00BD0512" w:rsidRDefault="00BD0512" w:rsidP="00BD0512">
            <w:r>
              <w:t xml:space="preserve"> in the TxOp if transmitted at 160MHz, but if CCA at that point says that only</w:t>
            </w:r>
          </w:p>
          <w:p w14:paraId="05D9055D" w14:textId="77777777" w:rsidR="00BD0512" w:rsidRDefault="00BD0512" w:rsidP="00BD0512">
            <w:r>
              <w:t>primary 20MHz channel is idle the same MSDU/PPDU may require fragmentation</w:t>
            </w:r>
          </w:p>
          <w:p w14:paraId="71AF8185" w14:textId="77777777" w:rsidR="00BD0512" w:rsidRDefault="00BD0512" w:rsidP="00BD0512">
            <w:r>
              <w:t>which the STA may be able to do at that last minute and it chooses to not</w:t>
            </w:r>
          </w:p>
          <w:p w14:paraId="383F3C0D" w14:textId="01DD11E6" w:rsidR="00BD0512" w:rsidRPr="00B95619" w:rsidRDefault="00BD0512" w:rsidP="00BD0512">
            <w:r>
              <w:t>transmit and instead wait for the full bandwidth to become available.</w:t>
            </w:r>
          </w:p>
        </w:tc>
        <w:tc>
          <w:tcPr>
            <w:tcW w:w="3384" w:type="dxa"/>
          </w:tcPr>
          <w:p w14:paraId="17AB74A2" w14:textId="50C01447" w:rsidR="00BD0512" w:rsidRDefault="00BD0512" w:rsidP="00BD0512">
            <w:r>
              <w:t>Add an action to allow STAs to behave as if CS on the primary channel said "busy",</w:t>
            </w:r>
          </w:p>
          <w:p w14:paraId="27A62FCA" w14:textId="77777777" w:rsidR="00BD0512" w:rsidRDefault="00BD0512" w:rsidP="00BD0512">
            <w:r>
              <w:t>if the full bandwidth is not available and the STA chooses to not use the</w:t>
            </w:r>
          </w:p>
          <w:p w14:paraId="6CEF853A" w14:textId="6E8EF1F4" w:rsidR="00BD0512" w:rsidRPr="00B95619" w:rsidRDefault="00BD0512" w:rsidP="00BD0512">
            <w:r>
              <w:t>reduced bandwidth.</w:t>
            </w:r>
          </w:p>
        </w:tc>
      </w:tr>
      <w:tr w:rsidR="00583953" w:rsidRPr="002C1619" w14:paraId="4F63D76F" w14:textId="77777777" w:rsidTr="000B3AA6">
        <w:tc>
          <w:tcPr>
            <w:tcW w:w="180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 xml:space="preserve">At 2208.44 add a "NOTE---An EDCAF does nothing at each of the above-described specific slot boundaries if there is not a frame available for transmission at that </w:t>
            </w:r>
            <w:r w:rsidRPr="00583953">
              <w:lastRenderedPageBreak/>
              <w:t>EDCAF and the backoff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Decrement the backoff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Invoke the backoff procedure due to an internal collision.</w:t>
      </w:r>
    </w:p>
    <w:p w14:paraId="0C928D43" w14:textId="18A68502" w:rsidR="00B95619" w:rsidRDefault="00B95619" w:rsidP="00B95619">
      <w:pPr>
        <w:ind w:left="720"/>
      </w:pPr>
      <w:r>
        <w:t>— Do nothing.</w:t>
      </w:r>
    </w:p>
    <w:p w14:paraId="36F02855" w14:textId="36C06207" w:rsidR="00B95619" w:rsidRDefault="00B95619" w:rsidP="00B95619"/>
    <w:p w14:paraId="0D7D77D8" w14:textId="3193A131" w:rsidR="00101ECB" w:rsidRDefault="00101ECB" w:rsidP="00B95619">
      <w:r>
        <w:t>and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The backoff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e) Restart the channel access attempt by invoking the backoff procedure as specified in 10.23.2 (HCF contention based channel access (EDCA)) as though the medium is busy on the primary channel as indicated by either physical or virtual CS and the backoff counter has a value of 0.</w:t>
      </w:r>
    </w:p>
    <w:p w14:paraId="5A0D7BAC" w14:textId="355ADAFA" w:rsidR="00101ECB" w:rsidRDefault="006D6154" w:rsidP="00101ECB">
      <w:pPr>
        <w:ind w:left="720"/>
      </w:pPr>
      <w:r>
        <w:t xml:space="preserve"> </w:t>
      </w:r>
      <w:r w:rsidR="00101ECB">
        <w:t>[more PPDU transmission options for TVHT and HE]</w:t>
      </w:r>
    </w:p>
    <w:p w14:paraId="242D8CAD" w14:textId="27A59B0F" w:rsidR="00B95619" w:rsidRDefault="00B95619" w:rsidP="00B95619"/>
    <w:p w14:paraId="0F71E26A" w14:textId="28607165" w:rsidR="00101ECB" w:rsidRDefault="00101ECB" w:rsidP="00B95619">
      <w:r>
        <w:t>“permitted to begin a TXOP” must be cognate with “Initiate the transmission of a frame exchange sequence.” (sic)/“initiate a transmission sequence”.   But then “e) Restart the channel access attempt by invoking the backoff procedure” is not within the scope of what is permitted by 10.23.2.4 when the backoff counter is 0, there is something to tx and there is no higher-priority EDCAF also in the same situation</w:t>
      </w:r>
      <w:r w:rsidR="00A90BFA">
        <w:t xml:space="preserve"> -- in this situation a STA “shall” initiate a TXOP</w:t>
      </w:r>
      <w:r>
        <w:t>.</w:t>
      </w:r>
      <w:r w:rsidR="006D6154">
        <w:t xml:space="preserve">  (And additionally it is not clear: on which EDCAF(s) is the backoff procedure invoked?)</w:t>
      </w:r>
    </w:p>
    <w:p w14:paraId="066D42ED" w14:textId="12BB70F3" w:rsidR="00101ECB" w:rsidRDefault="00101ECB" w:rsidP="00B95619"/>
    <w:p w14:paraId="3BE8C656" w14:textId="3ED0F25D" w:rsidR="00BD0512" w:rsidRDefault="00BD0512" w:rsidP="00B95619">
      <w:r>
        <w:t xml:space="preserve">In addition, while the rules on when a STA is “permitted to begin a TXOP” do not depend on the state of the secondary channel(s), only the primary channel, there may be situations in which a STA might prefer to do </w:t>
      </w:r>
      <w:r>
        <w:lastRenderedPageBreak/>
        <w:t>nothing rather than transmit at reduced bandwidth.  In those situations the EDCAF in question should not be required to backoff, since it has not put anything on the WM.</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Decrement the backoff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7777777" w:rsidR="00101ECB" w:rsidRDefault="00101ECB" w:rsidP="00101ECB">
      <w:pPr>
        <w:ind w:left="720"/>
      </w:pPr>
      <w:r>
        <w:t>— Invoke the backoff procedure due to an internal collision.</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At each of the above-described specific slot boundaries, each EDCAF shall decrement the backoff counter if the backoff counter for that EDCAF has a nonzero value.</w:t>
      </w:r>
    </w:p>
    <w:p w14:paraId="2B6F7C2C" w14:textId="77777777" w:rsidR="00583953" w:rsidRPr="00583953" w:rsidRDefault="00583953" w:rsidP="00583953">
      <w:pPr>
        <w:ind w:left="720"/>
      </w:pPr>
    </w:p>
    <w:p w14:paraId="6A9A688D" w14:textId="6721A131" w:rsidR="006D6154" w:rsidRDefault="006D6154" w:rsidP="006D6154">
      <w:pPr>
        <w:ind w:left="720"/>
      </w:pPr>
      <w:r>
        <w:t xml:space="preserve">At each of the above-described specific slot boundaries, each EDCAF shall </w:t>
      </w:r>
      <w:r w:rsidR="00583953" w:rsidRPr="00583953">
        <w:rPr>
          <w:u w:val="single"/>
        </w:rPr>
        <w:t xml:space="preserve">either </w:t>
      </w:r>
      <w:r>
        <w:t>initiate a</w:t>
      </w:r>
      <w:r w:rsidRPr="006D6154">
        <w:rPr>
          <w:strike/>
        </w:rPr>
        <w:t xml:space="preserve"> transmission sequence</w:t>
      </w:r>
      <w:r>
        <w:rPr>
          <w:u w:val="single"/>
        </w:rPr>
        <w:t xml:space="preserve"> TXOP</w:t>
      </w:r>
      <w:r w:rsidR="00BD0512">
        <w:rPr>
          <w:u w:val="single"/>
        </w:rPr>
        <w:t xml:space="preserve"> or do nothing</w:t>
      </w:r>
      <w:r>
        <w:t xml:space="preserve"> 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The backoff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01400F83" w:rsidR="006D6154" w:rsidRDefault="00BD0512" w:rsidP="00BD0512">
      <w:pPr>
        <w:ind w:left="720"/>
        <w:rPr>
          <w:u w:val="single"/>
        </w:rPr>
      </w:pPr>
      <w:r w:rsidRPr="00BD0512">
        <w:rPr>
          <w:u w:val="single"/>
        </w:rPr>
        <w:t>NOTE</w:t>
      </w:r>
      <w:r>
        <w:rPr>
          <w:u w:val="single"/>
        </w:rPr>
        <w:t>—An EDCAF might do nothing if the available bandwidth (based on the state of the secondary channel(s)) is insufficient for its purposes.</w:t>
      </w:r>
    </w:p>
    <w:p w14:paraId="766014A0" w14:textId="17986989" w:rsidR="006D6154" w:rsidRDefault="006D6154" w:rsidP="00B95619">
      <w:pPr>
        <w:rPr>
          <w:u w:val="single"/>
        </w:rPr>
      </w:pPr>
    </w:p>
    <w:p w14:paraId="0AAB45FD" w14:textId="49979AA9" w:rsidR="00583953" w:rsidRPr="00583953" w:rsidRDefault="00583953" w:rsidP="00583953">
      <w:pPr>
        <w:ind w:left="720"/>
      </w:pPr>
      <w:r w:rsidRPr="00583953">
        <w:t>At each of the above-described specific slot boundaries, each EDCAF shall report an internal collision (which</w:t>
      </w:r>
      <w:r>
        <w:t xml:space="preserve"> </w:t>
      </w:r>
      <w:r w:rsidRPr="00583953">
        <w:t>is handled</w:t>
      </w:r>
      <w:r w:rsidR="00031718">
        <w:rPr>
          <w:u w:val="single"/>
        </w:rPr>
        <w:t xml:space="preserve"> as specified</w:t>
      </w:r>
      <w:r w:rsidRPr="00583953">
        <w:t xml:space="preserve"> in 10.23.2.4 (Obtaining an EDCA TXOP))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The backoff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The backoff counter for that EDCAF has a value of 0</w:t>
      </w:r>
      <w:r>
        <w:rPr>
          <w:u w:val="single"/>
        </w:rPr>
        <w:t>.</w:t>
      </w:r>
    </w:p>
    <w:p w14:paraId="4BBC23E1" w14:textId="77777777" w:rsidR="00583953" w:rsidRDefault="00583953" w:rsidP="00B95619">
      <w:pPr>
        <w:rPr>
          <w:u w:val="single"/>
        </w:rPr>
      </w:pPr>
    </w:p>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r w:rsidRPr="006D6154">
        <w:rPr>
          <w:strike/>
        </w:rPr>
        <w:t>begin</w:t>
      </w:r>
      <w:r>
        <w:rPr>
          <w:u w:val="single"/>
        </w:rPr>
        <w:t>initiate</w:t>
      </w:r>
      <w:r>
        <w:t xml:space="preserve"> a TXOP (as </w:t>
      </w:r>
      <w:r w:rsidRPr="0025380C">
        <w:rPr>
          <w:strike/>
        </w:rPr>
        <w:t>defined</w:t>
      </w:r>
      <w:r w:rsidR="0025380C">
        <w:rPr>
          <w:u w:val="single"/>
        </w:rPr>
        <w:t>specified</w:t>
      </w:r>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1DDC19AD" w:rsidR="006D6154" w:rsidRDefault="006D6154" w:rsidP="006D6154">
      <w:pPr>
        <w:ind w:left="720"/>
        <w:rPr>
          <w:strike/>
        </w:rPr>
      </w:pPr>
      <w:r w:rsidRPr="00583953">
        <w:t>e)</w:t>
      </w:r>
      <w:r w:rsidRPr="00583953">
        <w:rPr>
          <w:strike/>
        </w:rPr>
        <w:t xml:space="preserve"> </w:t>
      </w:r>
      <w:r w:rsidRPr="006D6154">
        <w:rPr>
          <w:strike/>
        </w:rPr>
        <w:t>Restart the channel access attempt by invoking the backoff procedure as specified in 10.23.2 (HCF contention based channel access (EDCA)) as though the medium is busy on the primary channel as indicated by either physical or virtual CS and the backoff counter has a value of 0.</w:t>
      </w:r>
      <w:r w:rsidR="00583953" w:rsidRPr="00583953">
        <w:rPr>
          <w:u w:val="single"/>
        </w:rPr>
        <w:t xml:space="preserve"> Transmit nothing.</w:t>
      </w:r>
    </w:p>
    <w:p w14:paraId="4B2207D2" w14:textId="2568F877" w:rsidR="006D6154" w:rsidRDefault="006D6154" w:rsidP="00B95619">
      <w:pPr>
        <w:rPr>
          <w:u w:val="single"/>
        </w:rPr>
      </w:pPr>
    </w:p>
    <w:p w14:paraId="39E4AA63" w14:textId="09242E47" w:rsidR="006D6154" w:rsidRDefault="006D6154" w:rsidP="00B95619">
      <w:r>
        <w:t>and after the bullets add:</w:t>
      </w:r>
    </w:p>
    <w:p w14:paraId="4C1009F9" w14:textId="2A496A14" w:rsidR="006D6154" w:rsidRDefault="006D6154" w:rsidP="00B95619"/>
    <w:p w14:paraId="5D773D0F" w14:textId="5A8AB4C9" w:rsidR="006D6154" w:rsidRPr="006D6154" w:rsidRDefault="006D6154" w:rsidP="006D6154">
      <w:pPr>
        <w:ind w:left="720"/>
      </w:pPr>
      <w:r>
        <w:t>NOTE—An EDCAF that initiates a TXOP has a frame available for transmission (see 10.23.2.4).  There might be another EDCAF of lower priority that invokes the backoff procedure due to an internal collision (see 10.23.2.4).</w:t>
      </w:r>
    </w:p>
    <w:p w14:paraId="0B56C054" w14:textId="4BCE2EA7" w:rsidR="006D6154" w:rsidRDefault="006D6154" w:rsidP="00B95619">
      <w:pPr>
        <w:rPr>
          <w:u w:val="single"/>
        </w:rPr>
      </w:pPr>
    </w:p>
    <w:p w14:paraId="3FE08D71" w14:textId="5AEAC15F" w:rsidR="0025380C" w:rsidRPr="0025380C" w:rsidRDefault="0025380C" w:rsidP="00B95619">
      <w:r w:rsidRPr="0025380C">
        <w:rPr>
          <w:highlight w:val="yellow"/>
        </w:rPr>
        <w:t>TBD: make similar changes in 10.23.2.6 (3x), 10.23.2.13, 10.23.2.14.</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77777777" w:rsidR="00B95619" w:rsidRDefault="00B95619" w:rsidP="00B95619">
      <w:r>
        <w:t xml:space="preserve">Make the changes shown under “Proposed changes” for CID xxx in &lt;this document&gt;, which xxx </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r>
        <w:t>An A-MSDU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"Rsvd" field is not described as a reserved field</w:t>
            </w:r>
          </w:p>
        </w:tc>
        <w:tc>
          <w:tcPr>
            <w:tcW w:w="3384" w:type="dxa"/>
          </w:tcPr>
          <w:p w14:paraId="7D79D116" w14:textId="7CE8D75B" w:rsidR="00320D62" w:rsidRPr="002C1619" w:rsidRDefault="00320D62" w:rsidP="004A1306">
            <w:r w:rsidRPr="00320D62">
              <w:t>At the end of the last para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"Rsvd"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At the end of the last para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 xml:space="preserve">Calling the field “Rsvd” </w:t>
      </w:r>
      <w:r w:rsidR="00786220">
        <w:t xml:space="preserve">(which is the third octet, not the second octet) </w:t>
      </w:r>
      <w:r>
        <w:t xml:space="preserve">in the figure suggests it’s reserved, but this is not actually stated anywhere.  This also applies to CCMP, where additionally the reservedness of the lsbs of the key ID octet </w:t>
      </w:r>
      <w:r w:rsidR="00786220">
        <w:t xml:space="preserve">(i.e. the “Rsvd”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t>REVISED</w:t>
      </w:r>
    </w:p>
    <w:p w14:paraId="6EC20441" w14:textId="7FD64267" w:rsidR="00320D62" w:rsidRDefault="00320D62" w:rsidP="00320D62">
      <w:pPr>
        <w:rPr>
          <w:u w:val="single"/>
        </w:rPr>
      </w:pPr>
    </w:p>
    <w:p w14:paraId="081DE465" w14:textId="77777777" w:rsidR="00320D62" w:rsidRPr="00320D62" w:rsidRDefault="00320D62" w:rsidP="00320D62">
      <w:r w:rsidRPr="00320D62">
        <w:t>At 3156.62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The ExtIV subfield (bit 5) of the Key ID octet signals that the CCMP Header field extends the MPDU header</w:t>
      </w:r>
      <w:r>
        <w:t xml:space="preserve"> </w:t>
      </w:r>
      <w:r w:rsidRPr="00320D62">
        <w:t>by a total of 8 octets, compared to the 4 octets added to the MPDU header when WEP is used. The ExtIV bit</w:t>
      </w:r>
      <w:r>
        <w:t xml:space="preserve"> </w:t>
      </w:r>
      <w:r w:rsidRPr="00320D62">
        <w:t>(bit 5) is always set to 1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The ExtIV subfield (bit 5) of the Key ID octet signals that the CCMP Header field extends the MPDU header</w:t>
      </w:r>
      <w:r>
        <w:t xml:space="preserve"> </w:t>
      </w:r>
      <w:r w:rsidRPr="00320D62">
        <w:t xml:space="preserve">by a total of 8 octets, compared to the 4 octets added to the MPDU header when WEP is used.  The ExtIV </w:t>
      </w:r>
      <w:r w:rsidRPr="00320D62">
        <w:rPr>
          <w:highlight w:val="cyan"/>
        </w:rPr>
        <w:t>subfield</w:t>
      </w:r>
      <w:r>
        <w:t xml:space="preserve"> </w:t>
      </w:r>
      <w:r w:rsidRPr="00320D62">
        <w:t>is always set to 1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initializes the transmitter TSC/PN/IPN/BIPN counter and the receiver replay counter values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initializes the transmitter TSC/PN/IPN/BIPN counter and the receiver replay counter values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initializes the transmitter TSC/PN/IPN/BIPN counter to 0.” to “When the Key, Address, Key Type, and Key ID parameters identify a new pairwise key or PeerKey to be set, the MAC</w:t>
            </w:r>
          </w:p>
          <w:p w14:paraId="71DF19BF" w14:textId="77777777" w:rsidR="00656BDE" w:rsidRDefault="00656BDE" w:rsidP="00656BDE">
            <w:r>
              <w:t>initializes the transmitter TSC/PN/IPN/BIPN counter to 0.  When the Key, Address, Key Type, and Key ID parameters identify a new key to be set that is not a pairwise key or PeerKey,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At 3143.28 after “NOTE 1” insert “NOTE 2---The PN is incremented before the MPDU is constructed and therefore no MPDU is transmitted with a zero PN.” and renumber the other NOTEs in the subclause;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so for now leave it vague and the initialisation value as 1</w:t>
      </w:r>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142577EA" w:rsidR="00656BDE" w:rsidRPr="00FF305B" w:rsidRDefault="000F35B1" w:rsidP="00656BDE">
      <w:pPr>
        <w:rPr>
          <w:u w:val="single"/>
        </w:rPr>
      </w:pPr>
      <w:r>
        <w:rPr>
          <w:u w:val="single"/>
        </w:rPr>
        <w:t>Proposed changes</w:t>
      </w:r>
      <w:r w:rsidR="00656BDE" w:rsidRPr="00FF305B">
        <w:rPr>
          <w:u w:val="single"/>
        </w:rPr>
        <w:t>:</w:t>
      </w:r>
    </w:p>
    <w:p w14:paraId="6E69BEAD" w14:textId="53768C8E" w:rsidR="00656BDE" w:rsidRDefault="00656BDE"/>
    <w:p w14:paraId="05FAF5DC" w14:textId="4FBB1AB5" w:rsidR="00656BDE" w:rsidRDefault="00656BDE">
      <w:r>
        <w:t>Change 490.50 as follows:</w:t>
      </w:r>
    </w:p>
    <w:p w14:paraId="58D5C1F0" w14:textId="06B6E8AA" w:rsidR="00656BDE" w:rsidRDefault="00656BDE"/>
    <w:p w14:paraId="3208778F" w14:textId="58B1FB39" w:rsidR="00656BDE" w:rsidRDefault="00656BDE" w:rsidP="00656BDE">
      <w:pPr>
        <w:ind w:left="720"/>
      </w:pPr>
      <w:r>
        <w:t xml:space="preserve">When the </w:t>
      </w:r>
      <w:r w:rsidR="007E12DD">
        <w:rPr>
          <w:u w:val="single"/>
        </w:rPr>
        <w:t xml:space="preserve">Key Type parameter is Pairwise or PeerKey,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w:t>
      </w:r>
      <w:r>
        <w:lastRenderedPageBreak/>
        <w:t>TSC/PN</w:t>
      </w:r>
      <w:r w:rsidRPr="007F0158">
        <w:rPr>
          <w:strike/>
        </w:rPr>
        <w:t>/IPN/BIPN</w:t>
      </w:r>
      <w:r>
        <w:t xml:space="preserve"> counter</w:t>
      </w:r>
      <w:r w:rsidR="007E12DD">
        <w:rPr>
          <w:u w:val="single"/>
        </w:rPr>
        <w:t xml:space="preserve"> and the receiver replay counter(s)</w:t>
      </w:r>
      <w:r>
        <w:t xml:space="preserve"> to 0</w:t>
      </w:r>
      <w:r w:rsidR="00F876AD">
        <w:t xml:space="preserve"> </w:t>
      </w:r>
      <w:r w:rsidR="00F876AD" w:rsidRPr="00F876AD">
        <w:rPr>
          <w:b/>
          <w:i/>
        </w:rPr>
        <w:t>[or “to the values specified in Clause 12”?]</w:t>
      </w:r>
      <w:r>
        <w:t xml:space="preserve">. </w:t>
      </w:r>
      <w:r w:rsidR="007E12DD" w:rsidRPr="007E12DD">
        <w:rPr>
          <w:u w:val="single"/>
        </w:rPr>
        <w:t xml:space="preserve">When the Key Type parameter is </w:t>
      </w:r>
      <w:r w:rsidR="007E12DD">
        <w:rPr>
          <w:u w:val="single"/>
        </w:rPr>
        <w:t xml:space="preserve">not </w:t>
      </w:r>
      <w:r w:rsidR="007E12DD" w:rsidRPr="007E12DD">
        <w:rPr>
          <w:u w:val="single"/>
        </w:rPr>
        <w:t>Pairwise or PeerKey,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13E2DD46" w:rsidR="00656BDE" w:rsidRDefault="007E12DD" w:rsidP="00656BDE">
      <w:r>
        <w:t>Change 3149.8 and 3159.6 as follows:</w:t>
      </w:r>
    </w:p>
    <w:p w14:paraId="014F86B9" w14:textId="77777777" w:rsidR="007E12DD" w:rsidRDefault="007E12DD" w:rsidP="00656BDE"/>
    <w:p w14:paraId="50EFC329" w14:textId="134884FA"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4C5FA709" w14:textId="77777777" w:rsidR="00656BDE" w:rsidRDefault="00656BDE" w:rsidP="00656BDE"/>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09490A25" w14:textId="77777777" w:rsidR="000F35B1" w:rsidRDefault="000F35B1"/>
    <w:p w14:paraId="5C92B3C7" w14:textId="7F7D4B68" w:rsidR="000F35B1" w:rsidRPr="00FF305B" w:rsidRDefault="000F35B1" w:rsidP="000F35B1">
      <w:pPr>
        <w:rPr>
          <w:u w:val="single"/>
        </w:rPr>
      </w:pPr>
      <w:r w:rsidRPr="00FF305B">
        <w:rPr>
          <w:u w:val="single"/>
        </w:rPr>
        <w:t>Proposed resolution</w:t>
      </w:r>
      <w:r>
        <w:rPr>
          <w:u w:val="single"/>
        </w:rPr>
        <w:t xml:space="preserve"> for CIDs 1512, 1513, 1505, 1506, 1507</w:t>
      </w:r>
      <w:r w:rsidRPr="00FF305B">
        <w:rPr>
          <w:u w:val="single"/>
        </w:rPr>
        <w:t>:</w:t>
      </w:r>
    </w:p>
    <w:p w14:paraId="0307B1F0" w14:textId="77777777" w:rsidR="000F35B1" w:rsidRDefault="000F35B1" w:rsidP="000F35B1">
      <w:pPr>
        <w:rPr>
          <w:b/>
          <w:sz w:val="24"/>
        </w:rPr>
      </w:pPr>
    </w:p>
    <w:p w14:paraId="5941F317" w14:textId="77777777" w:rsidR="000F35B1" w:rsidRDefault="000F35B1" w:rsidP="000F35B1">
      <w:r>
        <w:t>REVISED</w:t>
      </w:r>
    </w:p>
    <w:p w14:paraId="5217AE52" w14:textId="77777777" w:rsidR="000F35B1" w:rsidRDefault="000F35B1" w:rsidP="000F35B1"/>
    <w:p w14:paraId="71875F05" w14:textId="10346CD3" w:rsidR="000F35B1" w:rsidRDefault="000F35B1" w:rsidP="000F35B1">
      <w:r>
        <w:t xml:space="preserve">Make the changes shown under “Proposed changes” for CIDs </w:t>
      </w:r>
      <w:r w:rsidRPr="000F35B1">
        <w:t>1512, 1513, 1505, 1506, 150</w:t>
      </w:r>
      <w:r>
        <w:t xml:space="preserve"> in &lt;this document&gt;, which make changes in the direction suggested, though they do not change the initialisation value for BIP. </w:t>
      </w:r>
    </w:p>
    <w:p w14:paraId="463F94A6" w14:textId="3257898B" w:rsidR="000F35B1" w:rsidRDefault="000F35B1" w:rsidP="000F35B1"/>
    <w:p w14:paraId="3F31DF26" w14:textId="68D6FE3E" w:rsidR="000F35B1" w:rsidRPr="00FF305B" w:rsidRDefault="000F35B1" w:rsidP="000F35B1">
      <w:pPr>
        <w:rPr>
          <w:u w:val="single"/>
        </w:rPr>
      </w:pPr>
      <w:r w:rsidRPr="00FF305B">
        <w:rPr>
          <w:u w:val="single"/>
        </w:rPr>
        <w:t>Proposed resolution</w:t>
      </w:r>
      <w:r>
        <w:rPr>
          <w:u w:val="single"/>
        </w:rPr>
        <w:t xml:space="preserve"> for CID 2166</w:t>
      </w:r>
      <w:r w:rsidRPr="00FF305B">
        <w:rPr>
          <w:u w:val="single"/>
        </w:rPr>
        <w:t>:</w:t>
      </w:r>
    </w:p>
    <w:p w14:paraId="0803156E" w14:textId="77777777" w:rsidR="000F35B1" w:rsidRDefault="000F35B1" w:rsidP="000F35B1"/>
    <w:p w14:paraId="63445B22" w14:textId="620F8235" w:rsidR="000F35B1" w:rsidRDefault="000F35B1" w:rsidP="000F35B1">
      <w:r>
        <w:t>REJECTED</w:t>
      </w:r>
    </w:p>
    <w:p w14:paraId="0535C970" w14:textId="3EBA11DF" w:rsidR="000F35B1" w:rsidRDefault="000F35B1" w:rsidP="000F35B1"/>
    <w:p w14:paraId="034C5EF9" w14:textId="5775CD38" w:rsidR="000F35B1" w:rsidRDefault="000F35B1" w:rsidP="000F35B1">
      <w:r>
        <w:t>It’s true that there is no receiver PN etc. but saying “transmitter” and “receiver” is helpful to distinguish the behaviour on each side.</w:t>
      </w:r>
    </w:p>
    <w:p w14:paraId="69BF0AC0" w14:textId="503E8389"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dependent aAirPropagationTime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r w:rsidRPr="00F52524">
        <w:t xml:space="preserve">AckTimeout interval, with a value of </w:t>
      </w:r>
      <w:r w:rsidRPr="00F52524">
        <w:rPr>
          <w:highlight w:val="green"/>
        </w:rPr>
        <w:t>aSIFSTime</w:t>
      </w:r>
      <w:r w:rsidRPr="00F52524">
        <w:t xml:space="preserve"> + </w:t>
      </w:r>
      <w:r w:rsidRPr="00F52524">
        <w:rPr>
          <w:highlight w:val="green"/>
        </w:rPr>
        <w:t>aSlotTime</w:t>
      </w:r>
      <w:r w:rsidRPr="00F52524">
        <w:t xml:space="preserve"> + aRxPHYStartDelay</w:t>
      </w:r>
    </w:p>
    <w:p w14:paraId="62B488E5" w14:textId="7BA7234D" w:rsidR="00F52524" w:rsidRDefault="00F52524" w:rsidP="00F52524">
      <w:pPr>
        <w:ind w:left="720"/>
      </w:pPr>
      <w:r>
        <w:t xml:space="preserve">CTSTimeout interval with a value of </w:t>
      </w:r>
      <w:r w:rsidRPr="00F52524">
        <w:rPr>
          <w:highlight w:val="green"/>
        </w:rPr>
        <w:t>aSIFSTime</w:t>
      </w:r>
      <w:r>
        <w:t xml:space="preserve"> + </w:t>
      </w:r>
      <w:r w:rsidRPr="00F52524">
        <w:rPr>
          <w:highlight w:val="green"/>
        </w:rPr>
        <w:t>aSlotTime</w:t>
      </w:r>
      <w:r>
        <w:t xml:space="preserve"> + aRxPHYStartDelay</w:t>
      </w:r>
    </w:p>
    <w:p w14:paraId="5602479E" w14:textId="4A1188CB" w:rsidR="00F52524" w:rsidRDefault="00F52524" w:rsidP="00F52524">
      <w:pPr>
        <w:ind w:left="720"/>
      </w:pPr>
      <w:r>
        <w:t>NAVTimeout period is equal to (</w:t>
      </w:r>
      <w:r w:rsidRPr="00F52524">
        <w:rPr>
          <w:highlight w:val="green"/>
        </w:rPr>
        <w:t>2 × aSIFSTime</w:t>
      </w:r>
      <w:r>
        <w:t>) + (CTS_Time) + aRxPHYStartDelay + (</w:t>
      </w:r>
      <w:r w:rsidRPr="00F52524">
        <w:rPr>
          <w:highlight w:val="green"/>
        </w:rPr>
        <w:t>2 × aSlotTime</w:t>
      </w:r>
      <w:r>
        <w:t>)</w:t>
      </w:r>
    </w:p>
    <w:p w14:paraId="1DB9AC9D" w14:textId="4FF273E8" w:rsidR="00F52524" w:rsidRDefault="00F52524" w:rsidP="00F52524">
      <w:pPr>
        <w:ind w:left="720"/>
      </w:pPr>
      <w:r>
        <w:t xml:space="preserve">[EDCA backoff procedure] timeout interval of duration </w:t>
      </w:r>
      <w:r w:rsidRPr="00F52524">
        <w:rPr>
          <w:highlight w:val="green"/>
        </w:rPr>
        <w:t>aSIFSTime</w:t>
      </w:r>
      <w:r>
        <w:t xml:space="preserve"> + </w:t>
      </w:r>
      <w:r w:rsidRPr="00F52524">
        <w:rPr>
          <w:highlight w:val="green"/>
        </w:rPr>
        <w:t>aSlotTime</w:t>
      </w:r>
      <w:r>
        <w:t xml:space="preserve"> + aRxPHYStartDelay</w:t>
      </w:r>
    </w:p>
    <w:p w14:paraId="235565DF" w14:textId="5D684CF0" w:rsidR="00F52524" w:rsidRDefault="00F52524" w:rsidP="00F52524">
      <w:pPr>
        <w:ind w:left="720"/>
      </w:pPr>
      <w:r>
        <w:t xml:space="preserve">[some DMG thing] not observing the subsequent sectorized beam transmission for </w:t>
      </w:r>
      <w:r w:rsidRPr="00F52524">
        <w:rPr>
          <w:highlight w:val="green"/>
        </w:rPr>
        <w:t>aSIFSTime</w:t>
      </w:r>
      <w:r>
        <w:t xml:space="preserve"> + </w:t>
      </w:r>
      <w:r w:rsidRPr="00F52524">
        <w:rPr>
          <w:highlight w:val="green"/>
        </w:rPr>
        <w:t>aSlotTime</w:t>
      </w:r>
      <w:r>
        <w:t xml:space="preserve"> + aRxPHYStartDelay</w:t>
      </w:r>
    </w:p>
    <w:p w14:paraId="055C7C3E" w14:textId="494FB03A" w:rsidR="00F52524" w:rsidRDefault="00F52524" w:rsidP="00F52524">
      <w:pPr>
        <w:ind w:left="720"/>
      </w:pPr>
      <w:r>
        <w:t xml:space="preserve">[some EDMG thing] space-time slot has a duration of </w:t>
      </w:r>
      <w:r w:rsidRPr="00F52524">
        <w:rPr>
          <w:highlight w:val="green"/>
        </w:rPr>
        <w:t>aAirPropagationTime</w:t>
      </w:r>
      <w:r>
        <w:t xml:space="preserve"> + TXTIME(SSW) + </w:t>
      </w:r>
      <w:r w:rsidRPr="00F52524">
        <w:rPr>
          <w:highlight w:val="green"/>
        </w:rPr>
        <w:t>aSIFSTime</w:t>
      </w:r>
    </w:p>
    <w:p w14:paraId="7536777A" w14:textId="77777777" w:rsidR="00F52524" w:rsidRDefault="00F52524" w:rsidP="00F52524"/>
    <w:p w14:paraId="3EA52594" w14:textId="77777777" w:rsidR="003B3513" w:rsidRDefault="00F52524" w:rsidP="003B3513">
      <w:r>
        <w:t xml:space="preserve">There are some SIFSes without an air propagation time in </w:t>
      </w:r>
      <w:r w:rsidRPr="00F52524">
        <w:t>10.3.2.5.2 RID update</w:t>
      </w:r>
      <w:r>
        <w:t xml:space="preserve"> but Dave GOODALL has confirmed that they do not need one, since they are in the context of setting the RID (which is analogous to a NAV), not a </w:t>
      </w:r>
      <w:r w:rsidR="00167091">
        <w:t>“RIDT</w:t>
      </w:r>
      <w:r>
        <w:t>imeout</w:t>
      </w:r>
      <w:r w:rsidR="00167091">
        <w:t>”</w:t>
      </w:r>
      <w:r w:rsidR="003B3513">
        <w:t>:</w:t>
      </w:r>
    </w:p>
    <w:p w14:paraId="68D8EB11" w14:textId="77777777" w:rsidR="003B3513" w:rsidRDefault="003B3513" w:rsidP="003B3513"/>
    <w:p w14:paraId="3A5BA555" w14:textId="5BB1D40B" w:rsidR="003B3513" w:rsidRDefault="003B3513" w:rsidP="003B3513">
      <w:pPr>
        <w:ind w:left="720"/>
      </w:pPr>
      <w:r>
        <w:t>“The Response Indication field in the PHY layer signal field of an RTS will be NDP Response, assuming use of an NDP CTS. The RID counter value based on NDP Response will be the time to send either a 1 or 2 MHz NDP CTS + aSIFSTime, i.e. it only protects the NDP CTS and not the following data frame and Ack. Therefore the RID does not need a timeout like the NAVTimeout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There could be problems with the LongTxTime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The SIFS is the time from the end of the previous PPDU[+SigExt]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0EE1DA46"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r w:rsidRPr="005870F6">
        <w:rPr>
          <w:u w:val="single"/>
        </w:rPr>
        <w:t>aAirPropagationTime.</w:t>
      </w:r>
      <w:r>
        <w:rPr>
          <w:u w:val="single"/>
        </w:rPr>
        <w:t xml:space="preserve"> </w:t>
      </w:r>
      <w:r w:rsidRPr="005870F6">
        <w:rPr>
          <w:u w:val="single"/>
        </w:rPr>
        <w:t>Because aSlotTime includes aAirPropagationTime, even in the worst case the subsequent PPDU</w:t>
      </w:r>
      <w:r>
        <w:rPr>
          <w:u w:val="single"/>
        </w:rPr>
        <w:t xml:space="preserve"> </w:t>
      </w:r>
      <w:r w:rsidRPr="005870F6">
        <w:rPr>
          <w:u w:val="single"/>
        </w:rPr>
        <w:t xml:space="preserve">will </w:t>
      </w:r>
      <w:r w:rsidR="00B95131">
        <w:rPr>
          <w:u w:val="single"/>
        </w:rPr>
        <w:t xml:space="preserve">start to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PPDU[+SigExt]s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(aSlotTime – aAirPropagationTime) for the PHY in use. (#233)A DMG STA shall not allow the</w:t>
      </w:r>
      <w:r>
        <w:t xml:space="preserve"> </w:t>
      </w:r>
      <w:r w:rsidRPr="005870F6">
        <w:t>space between PPDUs that are defined to be separated by a SIFS, as measured on the medium</w:t>
      </w:r>
      <w:r w:rsidRPr="005870F6">
        <w:rPr>
          <w:u w:val="single"/>
        </w:rPr>
        <w:t xml:space="preserve"> at the STA</w:t>
      </w:r>
      <w:r w:rsidRPr="005870F6">
        <w:t>, to vary from the</w:t>
      </w:r>
      <w:r>
        <w:t xml:space="preserve"> </w:t>
      </w:r>
      <w:r w:rsidRPr="005870F6">
        <w:t>nominal SIFS by more than –0% or +10% × (aSlotTime – aAirPropagationTime).</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lastRenderedPageBreak/>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mesh STA needs to use the Extended Channel Switch Announcement when it is switching to a different operating class. We can find the description in 11.9.3.4 Selecting and advertising a new channel in an MBSS. In REVme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68DEB696" w14:textId="77777777" w:rsidR="009F70EC" w:rsidRDefault="009F70EC">
      <w:r>
        <w:br w:type="page"/>
      </w:r>
    </w:p>
    <w:tbl>
      <w:tblPr>
        <w:tblStyle w:val="TableGrid"/>
        <w:tblW w:w="0" w:type="auto"/>
        <w:tblLook w:val="04A0" w:firstRow="1" w:lastRow="0" w:firstColumn="1" w:lastColumn="0" w:noHBand="0" w:noVBand="1"/>
      </w:tblPr>
      <w:tblGrid>
        <w:gridCol w:w="1809"/>
        <w:gridCol w:w="4383"/>
        <w:gridCol w:w="3384"/>
      </w:tblGrid>
      <w:tr w:rsidR="009F70EC" w14:paraId="33D2D353" w14:textId="77777777" w:rsidTr="00400A83">
        <w:tc>
          <w:tcPr>
            <w:tcW w:w="1809" w:type="dxa"/>
          </w:tcPr>
          <w:p w14:paraId="69F0D89A" w14:textId="77777777" w:rsidR="009F70EC" w:rsidRDefault="009F70EC" w:rsidP="00400A83">
            <w:r>
              <w:lastRenderedPageBreak/>
              <w:t>Identifiers</w:t>
            </w:r>
          </w:p>
        </w:tc>
        <w:tc>
          <w:tcPr>
            <w:tcW w:w="4383" w:type="dxa"/>
          </w:tcPr>
          <w:p w14:paraId="57B2772B" w14:textId="77777777" w:rsidR="009F70EC" w:rsidRDefault="009F70EC" w:rsidP="00400A83">
            <w:r>
              <w:t>Comment</w:t>
            </w:r>
          </w:p>
        </w:tc>
        <w:tc>
          <w:tcPr>
            <w:tcW w:w="3384" w:type="dxa"/>
          </w:tcPr>
          <w:p w14:paraId="749283AF" w14:textId="77777777" w:rsidR="009F70EC" w:rsidRDefault="009F70EC" w:rsidP="00400A83">
            <w:r>
              <w:t>Proposed change</w:t>
            </w:r>
          </w:p>
        </w:tc>
      </w:tr>
      <w:tr w:rsidR="009F70EC" w:rsidRPr="002C1619" w14:paraId="1FDC4DBB" w14:textId="77777777" w:rsidTr="00400A83">
        <w:tc>
          <w:tcPr>
            <w:tcW w:w="1809" w:type="dxa"/>
          </w:tcPr>
          <w:p w14:paraId="3A01EFA5" w14:textId="620C87D9" w:rsidR="009F70EC" w:rsidRDefault="009F70EC" w:rsidP="00400A83">
            <w:r>
              <w:t>CID 1761</w:t>
            </w:r>
          </w:p>
          <w:p w14:paraId="77535445" w14:textId="2236EDB3" w:rsidR="009F70EC" w:rsidRDefault="009F70EC" w:rsidP="00400A83">
            <w:r>
              <w:t>Mark RISON</w:t>
            </w:r>
          </w:p>
          <w:p w14:paraId="3049A1AD" w14:textId="5D9B3E61" w:rsidR="009F70EC" w:rsidRDefault="009F70EC" w:rsidP="00400A83">
            <w:r w:rsidRPr="009F70EC">
              <w:t>9.6.7.3</w:t>
            </w:r>
          </w:p>
          <w:p w14:paraId="52D4D845" w14:textId="68DF5686" w:rsidR="009F70EC" w:rsidRDefault="009F70EC" w:rsidP="00400A83">
            <w:r>
              <w:t>1871.40</w:t>
            </w:r>
          </w:p>
        </w:tc>
        <w:tc>
          <w:tcPr>
            <w:tcW w:w="4383" w:type="dxa"/>
          </w:tcPr>
          <w:p w14:paraId="4810962B" w14:textId="4C61E6E8" w:rsidR="009F70EC" w:rsidRDefault="009F70EC" w:rsidP="009F70EC">
            <w:r>
              <w:t>In the Capabilities field, "An AP sets the Short Slot Time subfield in transmitted Beacon, Probe Response, Association Response, and</w:t>
            </w:r>
          </w:p>
          <w:p w14:paraId="3F5DCBA2" w14:textId="77777777" w:rsidR="009F70EC" w:rsidRDefault="009F70EC" w:rsidP="009F70EC">
            <w:r>
              <w:t>Reassociation Response frames to indicate the currently used slot time value within this BSS. See 11.1.3.2</w:t>
            </w:r>
          </w:p>
          <w:p w14:paraId="0C59E1CB" w14:textId="2AA6C0AA" w:rsidR="009F70EC" w:rsidRDefault="009F70EC" w:rsidP="009F70EC">
            <w:r>
              <w:t>(Beacon generation in non-DMG infrastructure networks)." but in measurement pilots "The Short Slot Time subfield is set to 1 if dot11ShortSlotTimeOptionImplemented and</w:t>
            </w:r>
          </w:p>
          <w:p w14:paraId="4A79BCFC" w14:textId="109CDCA3" w:rsidR="009F70EC" w:rsidRPr="002C1619" w:rsidRDefault="009F70EC" w:rsidP="009F70EC">
            <w:r>
              <w:t>dot11ShortSlotTimeOptionActivated are true. Otherwise, the Short Slot Time subfield is set to 0.", i.e. no dependency on the slot time within the BSS</w:t>
            </w:r>
          </w:p>
        </w:tc>
        <w:tc>
          <w:tcPr>
            <w:tcW w:w="3384" w:type="dxa"/>
          </w:tcPr>
          <w:p w14:paraId="3B53FB4B" w14:textId="24B8D09A" w:rsidR="009F70EC" w:rsidRPr="002C1619" w:rsidRDefault="009F70EC" w:rsidP="00400A83">
            <w:r w:rsidRPr="009F70EC">
              <w:t>Change to "The Short Slot Time subfield is set to 1 if the short slot time is currently used within the BSS. Otherwise, the Short Slot Time subfield is set to 0."</w:t>
            </w:r>
          </w:p>
        </w:tc>
      </w:tr>
    </w:tbl>
    <w:p w14:paraId="619EBE79" w14:textId="77777777" w:rsidR="009F70EC" w:rsidRDefault="009F70EC" w:rsidP="009F70EC"/>
    <w:p w14:paraId="21FE02FF" w14:textId="77777777" w:rsidR="009F70EC" w:rsidRPr="00F70C97" w:rsidRDefault="009F70EC" w:rsidP="009F70EC">
      <w:pPr>
        <w:rPr>
          <w:u w:val="single"/>
        </w:rPr>
      </w:pPr>
      <w:r w:rsidRPr="00F70C97">
        <w:rPr>
          <w:u w:val="single"/>
        </w:rPr>
        <w:t>Discussion:</w:t>
      </w:r>
    </w:p>
    <w:p w14:paraId="28C5BEB7" w14:textId="644A9F91" w:rsidR="009F70EC" w:rsidRDefault="009F70EC" w:rsidP="009F70EC"/>
    <w:p w14:paraId="1DD868D3" w14:textId="02D14AFC" w:rsidR="009F70EC" w:rsidRDefault="009F70EC" w:rsidP="009F70EC">
      <w:r>
        <w:t>A non-AP STA sets this field to indicate its capabilities, but an AP sets it to indicate what’s actually in used in the BSS (which may be long slots even if the AP supports shorts slots, if a short slot-incapable STA is associated).</w:t>
      </w:r>
    </w:p>
    <w:p w14:paraId="4532304C" w14:textId="37EC5C70" w:rsidR="009F70EC" w:rsidRDefault="009F70EC" w:rsidP="009F70EC"/>
    <w:p w14:paraId="01A3150D" w14:textId="08E88407" w:rsidR="009F70EC" w:rsidRDefault="002030B2" w:rsidP="009F70EC">
      <w:r>
        <w:t>9.4.1.4 covers this</w:t>
      </w:r>
      <w:r w:rsidR="00206788">
        <w:t>, though it doesn’t actually specify the bit interpretation for APs</w:t>
      </w:r>
      <w:r w:rsidR="009F70EC">
        <w:t>:</w:t>
      </w:r>
    </w:p>
    <w:p w14:paraId="1069CCEA" w14:textId="4B0D3231" w:rsidR="009F70EC" w:rsidRDefault="009F70EC" w:rsidP="009F70EC"/>
    <w:p w14:paraId="5C98EE2A" w14:textId="53A2E784" w:rsidR="009F70EC" w:rsidRDefault="009F70EC" w:rsidP="009F70EC">
      <w:pPr>
        <w:ind w:left="720"/>
      </w:pPr>
      <w:r>
        <w:t>A STA sets the Short Slot Time subfield to 1 in transmitted Association Request, and Reassociation Request frames when dot11ShortSlotTimeOptionImplemented and dot11ShortSlotTimeOptionActivated are true. Otherwise, the STA sets the Short Slot Time subfield to 0.</w:t>
      </w:r>
    </w:p>
    <w:p w14:paraId="39B062EF" w14:textId="77777777" w:rsidR="009F70EC" w:rsidRDefault="009F70EC" w:rsidP="009F70EC">
      <w:pPr>
        <w:ind w:left="720"/>
      </w:pPr>
    </w:p>
    <w:p w14:paraId="37B1EFFC" w14:textId="59A7C8A6" w:rsidR="009F70EC" w:rsidRDefault="009F70EC" w:rsidP="009F70EC">
      <w:pPr>
        <w:ind w:left="720"/>
      </w:pPr>
      <w:r>
        <w:t>An AP sets the Short Slot Time subfield in transmitted Beacon, Probe Response, Association Response, and Reassociation Response frames to indicate the currently used slot time value within this BSS. See 11.1.3.2 (Beacon generation in non-DMG infrastructure networks).</w:t>
      </w:r>
    </w:p>
    <w:p w14:paraId="416D21E6" w14:textId="77777777" w:rsidR="009F70EC" w:rsidRDefault="009F70EC" w:rsidP="009F70EC">
      <w:pPr>
        <w:ind w:left="720"/>
      </w:pPr>
    </w:p>
    <w:p w14:paraId="40506EE3" w14:textId="7DF880AB" w:rsidR="009F70EC" w:rsidRDefault="009F70EC" w:rsidP="009F70EC">
      <w:pPr>
        <w:ind w:left="720"/>
      </w:pPr>
      <w:r>
        <w:t>See 10.3.2.16 (Operation of aSlotTime) for the operation of aSlotTime.</w:t>
      </w:r>
    </w:p>
    <w:p w14:paraId="574E7992" w14:textId="77777777" w:rsidR="009F70EC" w:rsidRDefault="009F70EC" w:rsidP="009F70EC">
      <w:pPr>
        <w:ind w:left="720"/>
      </w:pPr>
    </w:p>
    <w:p w14:paraId="544B66A7" w14:textId="491F7814" w:rsidR="009F70EC" w:rsidRDefault="009F70EC" w:rsidP="009F70EC">
      <w:pPr>
        <w:ind w:left="720"/>
      </w:pPr>
      <w:r>
        <w:t>For IBSS and MBSS, the Short Slot Time subfield is set to 0.</w:t>
      </w:r>
    </w:p>
    <w:p w14:paraId="7C77E46B" w14:textId="2BECA9F1" w:rsidR="009F70EC" w:rsidRDefault="009F70EC" w:rsidP="009F70EC"/>
    <w:p w14:paraId="24D913A6" w14:textId="1C585182" w:rsidR="009F70EC" w:rsidRDefault="009F70EC" w:rsidP="009F70EC">
      <w:r>
        <w:t xml:space="preserve">But </w:t>
      </w:r>
      <w:r w:rsidRPr="009F70EC">
        <w:t>9.6.7.3 Measurement Pilot frame format</w:t>
      </w:r>
      <w:r>
        <w:t xml:space="preserve"> is not OK because a Measurement Pilot frame is sent by an AP and gives a condensed report on the BSS.  Also, various locations fail to cover Measurement Pilot frames.</w:t>
      </w:r>
      <w:r w:rsidR="00206788">
        <w:t xml:space="preserve">  And Clause 19 has some ad libbing about bit interpretations.</w:t>
      </w:r>
      <w:r w:rsidR="00032D79">
        <w:t xml:space="preserve">  And sometimes </w:t>
      </w:r>
      <w:r w:rsidR="00032D79" w:rsidRPr="00032D79">
        <w:t>dot11ShortSlotTimeOptionActivated</w:t>
      </w:r>
      <w:r w:rsidR="00032D79">
        <w:t xml:space="preserve"> has been forgotten.</w:t>
      </w:r>
      <w:r w:rsidR="00DF7772">
        <w:t xml:space="preserve">  And 11.1.3.2 </w:t>
      </w:r>
      <w:r w:rsidR="00DF7772" w:rsidRPr="00DF7772">
        <w:t xml:space="preserve">Beacon generation in non-DMG infrastructure networks </w:t>
      </w:r>
      <w:r w:rsidR="00DF7772">
        <w:t>has an important sentence:</w:t>
      </w:r>
    </w:p>
    <w:p w14:paraId="6AD55CD5" w14:textId="298175D4" w:rsidR="00DF7772" w:rsidRDefault="00DF7772" w:rsidP="009F70EC"/>
    <w:p w14:paraId="66921C1B" w14:textId="54BE818D" w:rsidR="00DF7772" w:rsidRDefault="00DF7772" w:rsidP="00DF7772">
      <w:pPr>
        <w:ind w:left="720"/>
      </w:pPr>
      <w:r>
        <w:t>If a STA that does not support short slot time associates with an AP that supports Clause 18 (Extended Rate PHY (ERP) specification) operation, and the AP is using short slot time, the AP shall use long slot time beginning at the first Beacon frame subsequent to the association of the long slot time STA.</w:t>
      </w:r>
    </w:p>
    <w:p w14:paraId="1FD074FD" w14:textId="77777777" w:rsidR="009F70EC" w:rsidRDefault="009F70EC" w:rsidP="009F70EC"/>
    <w:p w14:paraId="3173A7D4" w14:textId="77777777" w:rsidR="009F70EC" w:rsidRDefault="009F70EC" w:rsidP="009F70EC">
      <w:pPr>
        <w:rPr>
          <w:u w:val="single"/>
        </w:rPr>
      </w:pPr>
      <w:r>
        <w:rPr>
          <w:u w:val="single"/>
        </w:rPr>
        <w:t>Proposed changes</w:t>
      </w:r>
      <w:r w:rsidRPr="00F70C97">
        <w:rPr>
          <w:u w:val="single"/>
        </w:rPr>
        <w:t>:</w:t>
      </w:r>
    </w:p>
    <w:p w14:paraId="3CFA5026" w14:textId="77777777" w:rsidR="009F70EC" w:rsidRDefault="009F70EC" w:rsidP="009F70EC">
      <w:pPr>
        <w:rPr>
          <w:u w:val="single"/>
        </w:rPr>
      </w:pPr>
    </w:p>
    <w:p w14:paraId="7CBDC55D" w14:textId="7376475D" w:rsidR="002030B2" w:rsidRDefault="002030B2" w:rsidP="009F70EC">
      <w:r>
        <w:t xml:space="preserve">Change </w:t>
      </w:r>
      <w:r w:rsidRPr="002030B2">
        <w:t>9.4.1.4 Capability Information field</w:t>
      </w:r>
      <w:r>
        <w:t xml:space="preserve"> as follows:</w:t>
      </w:r>
    </w:p>
    <w:p w14:paraId="1387B1A4" w14:textId="473BD1C3" w:rsidR="002030B2" w:rsidRDefault="002030B2" w:rsidP="009F70EC"/>
    <w:p w14:paraId="5CEAFF14" w14:textId="72F6853B" w:rsidR="002030B2" w:rsidRDefault="002030B2" w:rsidP="002030B2">
      <w:pPr>
        <w:ind w:left="720"/>
      </w:pPr>
      <w:r>
        <w:t xml:space="preserve">An AP sets the Short Slot Time subfield </w:t>
      </w:r>
      <w:r w:rsidR="00206788">
        <w:rPr>
          <w:u w:val="single"/>
        </w:rPr>
        <w:t xml:space="preserve">to 1 </w:t>
      </w:r>
      <w:r>
        <w:t xml:space="preserve">in transmitted Beacon, </w:t>
      </w:r>
      <w:r>
        <w:rPr>
          <w:u w:val="single"/>
        </w:rPr>
        <w:t xml:space="preserve">Measurement Pilot, </w:t>
      </w:r>
      <w:r>
        <w:t>Probe Response, Association Response, and Reassociation Response frames to indicate the</w:t>
      </w:r>
      <w:r w:rsidRPr="00206788">
        <w:rPr>
          <w:strike/>
        </w:rPr>
        <w:t xml:space="preserve"> currently used</w:t>
      </w:r>
      <w:r w:rsidR="00206788" w:rsidRPr="00206788">
        <w:rPr>
          <w:u w:val="single"/>
        </w:rPr>
        <w:t xml:space="preserve"> short</w:t>
      </w:r>
      <w:r>
        <w:t xml:space="preserve"> slot time value</w:t>
      </w:r>
      <w:r w:rsidR="00206788">
        <w:rPr>
          <w:u w:val="single"/>
        </w:rPr>
        <w:t xml:space="preserve"> is currently used</w:t>
      </w:r>
      <w:r>
        <w:t xml:space="preserve"> within this BSS. </w:t>
      </w:r>
      <w:r w:rsidR="00206788" w:rsidRPr="00206788">
        <w:rPr>
          <w:u w:val="single"/>
        </w:rPr>
        <w:t xml:space="preserve">Otherwise, the Short Slot Time subfield is set to 0. </w:t>
      </w:r>
      <w:r>
        <w:t xml:space="preserve">See </w:t>
      </w:r>
      <w:r w:rsidR="00D1109E" w:rsidRPr="00D1109E">
        <w:rPr>
          <w:u w:val="single"/>
        </w:rPr>
        <w:t xml:space="preserve">10.3.2.16 (Operation of aSlotTime) and </w:t>
      </w:r>
      <w:r>
        <w:t>11.1.3.2 (Beacon generation in non-DMG infrastructure networks).</w:t>
      </w:r>
    </w:p>
    <w:p w14:paraId="0CABF2DD" w14:textId="77777777" w:rsidR="002030B2" w:rsidRDefault="002030B2" w:rsidP="009F70EC"/>
    <w:p w14:paraId="33D553C3" w14:textId="77777777" w:rsidR="005A56E4" w:rsidRDefault="005A56E4" w:rsidP="005A56E4">
      <w:r>
        <w:lastRenderedPageBreak/>
        <w:t xml:space="preserve">Change </w:t>
      </w:r>
      <w:r w:rsidRPr="009F70EC">
        <w:t>9.6.7.3 Measurement Pilot frame format</w:t>
      </w:r>
      <w:r>
        <w:t xml:space="preserve"> as follows:</w:t>
      </w:r>
    </w:p>
    <w:p w14:paraId="19FB3915" w14:textId="77777777" w:rsidR="005A56E4" w:rsidRDefault="005A56E4" w:rsidP="005A56E4"/>
    <w:p w14:paraId="55C99AEB" w14:textId="2E271E8B" w:rsidR="005A56E4" w:rsidRPr="009F70EC" w:rsidRDefault="005A56E4" w:rsidP="005A56E4">
      <w:pPr>
        <w:ind w:left="720"/>
        <w:rPr>
          <w:strike/>
        </w:rPr>
      </w:pPr>
      <w:r>
        <w:t>The Short Slot Time subfield is set to 1</w:t>
      </w:r>
      <w:r w:rsidRPr="009F70EC">
        <w:rPr>
          <w:strike/>
        </w:rPr>
        <w:t xml:space="preserve"> if dot11ShortSlotTimeOptionImplemented and</w:t>
      </w:r>
      <w:r>
        <w:rPr>
          <w:strike/>
        </w:rPr>
        <w:t xml:space="preserve"> </w:t>
      </w:r>
      <w:r w:rsidRPr="009F70EC">
        <w:rPr>
          <w:strike/>
        </w:rPr>
        <w:t>dot11ShortSlotTimeOptionActivated are true</w:t>
      </w:r>
      <w:r w:rsidRPr="009F70EC">
        <w:rPr>
          <w:u w:val="single"/>
        </w:rPr>
        <w:t xml:space="preserve"> to indicate </w:t>
      </w:r>
      <w:r>
        <w:rPr>
          <w:u w:val="single"/>
        </w:rPr>
        <w:t xml:space="preserve">the short slot time value is currently used within </w:t>
      </w:r>
      <w:r w:rsidRPr="009F70EC">
        <w:rPr>
          <w:u w:val="single"/>
        </w:rPr>
        <w:t>this BSS</w:t>
      </w:r>
      <w:r>
        <w:t>. Otherwise, the Short Slot Time subfield is set to 0.</w:t>
      </w:r>
      <w:r w:rsidR="00D1109E" w:rsidRPr="00D1109E">
        <w:rPr>
          <w:u w:val="single"/>
        </w:rPr>
        <w:t xml:space="preserve"> </w:t>
      </w:r>
      <w:r w:rsidR="00D1109E">
        <w:rPr>
          <w:u w:val="single"/>
        </w:rPr>
        <w:t xml:space="preserve"> </w:t>
      </w:r>
      <w:r w:rsidR="00D1109E" w:rsidRPr="00D1109E">
        <w:rPr>
          <w:u w:val="single"/>
        </w:rPr>
        <w:t>See 10.3.2.16 (Operation of aSlotTime) and 11.1.3.2 (Beacon generation in non-DMG infrastructure networks).</w:t>
      </w:r>
    </w:p>
    <w:p w14:paraId="45237C10" w14:textId="444C57A4" w:rsidR="002030B2" w:rsidRDefault="002030B2" w:rsidP="009F70EC"/>
    <w:p w14:paraId="464FBCFD" w14:textId="69643A75" w:rsidR="009F70EC" w:rsidRDefault="009F70EC" w:rsidP="009F70EC">
      <w:r w:rsidRPr="009F70EC">
        <w:t>Change</w:t>
      </w:r>
      <w:r>
        <w:t xml:space="preserve"> 10.3.2.16 Operation of aSlotTime as follows:</w:t>
      </w:r>
    </w:p>
    <w:p w14:paraId="2DCC1E45" w14:textId="77777777" w:rsidR="009F70EC" w:rsidRDefault="009F70EC" w:rsidP="009F70EC"/>
    <w:p w14:paraId="7A040267" w14:textId="4A8F9546" w:rsidR="009F70EC" w:rsidRPr="009F70EC" w:rsidRDefault="009F70EC" w:rsidP="009F70EC">
      <w:pPr>
        <w:ind w:left="720"/>
      </w:pPr>
      <w:r w:rsidRPr="009F70EC">
        <w:t>A STA in which dot11ShortSlotTimeOptionImplemented</w:t>
      </w:r>
      <w:r w:rsidRPr="00032D79">
        <w:rPr>
          <w:strike/>
        </w:rPr>
        <w:t xml:space="preserve"> is</w:t>
      </w:r>
      <w:r w:rsidR="00032D79">
        <w:rPr>
          <w:u w:val="single"/>
        </w:rPr>
        <w:t xml:space="preserve"> and</w:t>
      </w:r>
      <w:r w:rsidR="00032D79" w:rsidRPr="00032D79">
        <w:rPr>
          <w:u w:val="single"/>
        </w:rPr>
        <w:t xml:space="preserve"> dot11ShortSlotTimeOptionActivated are</w:t>
      </w:r>
      <w:r w:rsidRPr="00032D79">
        <w:rPr>
          <w:u w:val="single"/>
        </w:rPr>
        <w:t xml:space="preserve"> true</w:t>
      </w:r>
      <w:r w:rsidRPr="009F70EC">
        <w:t xml:space="preserve"> shall set the MAC variable aSlotTime to the short slot value upon transmission or reception of Beacon, </w:t>
      </w:r>
      <w:r>
        <w:rPr>
          <w:u w:val="single"/>
        </w:rPr>
        <w:t xml:space="preserve">Measurement Pilot, </w:t>
      </w:r>
      <w:r w:rsidRPr="009F70EC">
        <w:t xml:space="preserve">Probe Response, Association Response, and Reassociation Response frames from the BSS that the STA has joined or started and that have the Short Slot Time subfield equal to 1. The STA shall set the MAC variable aSlotTime to the long slot value upon transmission or reception of Beacon, </w:t>
      </w:r>
      <w:r>
        <w:rPr>
          <w:u w:val="single"/>
        </w:rPr>
        <w:t xml:space="preserve">Measurement Pilot, </w:t>
      </w:r>
      <w:r w:rsidRPr="009F70EC">
        <w:t>Probe Response, Association Response, and Reassociation Response frames from the BSS that the STA has joined or started and that have the Short Slot Time subfield equal to 0.</w:t>
      </w:r>
      <w:r w:rsidR="00DF7772" w:rsidRPr="00DF7772">
        <w:rPr>
          <w:u w:val="single"/>
        </w:rPr>
        <w:t xml:space="preserve"> </w:t>
      </w:r>
      <w:r w:rsidR="00DF7772">
        <w:rPr>
          <w:u w:val="single"/>
        </w:rPr>
        <w:t xml:space="preserve">See also </w:t>
      </w:r>
      <w:r w:rsidR="00DF7772" w:rsidRPr="00D1109E">
        <w:rPr>
          <w:u w:val="single"/>
        </w:rPr>
        <w:t>11.1.3.2 (Beacon generation in non-DMG infrastructure networks)</w:t>
      </w:r>
      <w:r w:rsidR="00DF7772">
        <w:rPr>
          <w:u w:val="single"/>
        </w:rPr>
        <w:t>.</w:t>
      </w:r>
    </w:p>
    <w:p w14:paraId="2516B23A" w14:textId="0F9586C1" w:rsidR="009F70EC" w:rsidRDefault="009F70EC" w:rsidP="009F70EC">
      <w:pPr>
        <w:rPr>
          <w:u w:val="single"/>
        </w:rPr>
      </w:pPr>
    </w:p>
    <w:p w14:paraId="765F4438" w14:textId="5A253D85" w:rsidR="00E7118B" w:rsidRPr="00E7118B" w:rsidRDefault="00E7118B" w:rsidP="009F70EC">
      <w:r w:rsidRPr="00E7118B">
        <w:t>Change 18.5.4 ERP as follows:</w:t>
      </w:r>
    </w:p>
    <w:p w14:paraId="61B5FD84" w14:textId="023120D9" w:rsidR="00E7118B" w:rsidRPr="00E7118B" w:rsidRDefault="00E7118B" w:rsidP="009F70EC"/>
    <w:p w14:paraId="31C5D4CA" w14:textId="66B668EB" w:rsidR="00E7118B" w:rsidRPr="00206788" w:rsidRDefault="00E7118B" w:rsidP="00E7118B">
      <w:pPr>
        <w:ind w:left="720"/>
        <w:rPr>
          <w:strike/>
        </w:rPr>
      </w:pPr>
      <w:r w:rsidRPr="00E7118B">
        <w:t xml:space="preserve">The long slot time indicated in Table 18-5 (ERP characteristics) shall be used unless the BSS consists only of STAs that support short slot time. </w:t>
      </w:r>
      <w:r w:rsidRPr="00206788">
        <w:rPr>
          <w:strike/>
        </w:rPr>
        <w:t xml:space="preserve">STAs indicate support for short slot time by setting the Short Slot Time subfield to 1 when transmitting Association Request and Reassociation Request frames. </w:t>
      </w:r>
      <w:r w:rsidRPr="00E7118B">
        <w:t>If the BSS consists of only ERP STAs that support short slot time, an optional short slot time may be used.</w:t>
      </w:r>
      <w:r w:rsidRPr="00206788">
        <w:rPr>
          <w:strike/>
        </w:rPr>
        <w:t xml:space="preserve"> APs indicate usage of the short slot time indicated in Table 18-5 (ERP characteristics) by setting the Short Slot Time subfield to 1 in all Beacon, </w:t>
      </w:r>
      <w:r w:rsidRPr="00206788">
        <w:rPr>
          <w:strike/>
          <w:u w:val="single"/>
        </w:rPr>
        <w:t xml:space="preserve">Measurement Pilot, </w:t>
      </w:r>
      <w:r w:rsidRPr="00206788">
        <w:rPr>
          <w:strike/>
        </w:rPr>
        <w:t>Probe Response, Association Response, and Reassociation Response frame transmissions as described in 9.4.1.4 (Capability Information field).</w:t>
      </w:r>
      <w:r w:rsidR="00C13C99" w:rsidRPr="00C13C99">
        <w:rPr>
          <w:u w:val="single"/>
        </w:rPr>
        <w:t xml:space="preserve"> </w:t>
      </w:r>
      <w:r w:rsidR="00C13C99" w:rsidRPr="00D1109E">
        <w:rPr>
          <w:u w:val="single"/>
        </w:rPr>
        <w:t>See 10.3.2.16 (Operation of aSlotTime) and 11.1.3.2 (Beacon generation in non-DMG infrastructure networks).</w:t>
      </w:r>
    </w:p>
    <w:p w14:paraId="64949189" w14:textId="77777777" w:rsidR="00E7118B" w:rsidRDefault="00E7118B" w:rsidP="009F70EC">
      <w:pPr>
        <w:rPr>
          <w:u w:val="single"/>
        </w:rPr>
      </w:pPr>
    </w:p>
    <w:p w14:paraId="0F5EF7A4" w14:textId="77777777" w:rsidR="009F70EC" w:rsidRPr="00FF305B" w:rsidRDefault="009F70EC" w:rsidP="009F70EC">
      <w:pPr>
        <w:rPr>
          <w:u w:val="single"/>
        </w:rPr>
      </w:pPr>
      <w:r w:rsidRPr="00FF305B">
        <w:rPr>
          <w:u w:val="single"/>
        </w:rPr>
        <w:t>Proposed resolution:</w:t>
      </w:r>
    </w:p>
    <w:p w14:paraId="494F15E9" w14:textId="77777777" w:rsidR="009F70EC" w:rsidRDefault="009F70EC" w:rsidP="009F70EC">
      <w:pPr>
        <w:rPr>
          <w:b/>
          <w:sz w:val="24"/>
        </w:rPr>
      </w:pPr>
    </w:p>
    <w:p w14:paraId="7A08627C" w14:textId="77777777" w:rsidR="009F70EC" w:rsidRDefault="009F70EC" w:rsidP="009F70EC">
      <w:r>
        <w:t>REVISED</w:t>
      </w:r>
    </w:p>
    <w:p w14:paraId="2EB71CE5" w14:textId="77777777" w:rsidR="009F70EC" w:rsidRDefault="009F70EC" w:rsidP="009F70EC"/>
    <w:p w14:paraId="41DC3BC2" w14:textId="7F925BA1" w:rsidR="009F70EC" w:rsidRDefault="009F70EC" w:rsidP="009F70EC">
      <w:r>
        <w:t>Make the changes shown unde</w:t>
      </w:r>
      <w:r w:rsidR="00BE701B">
        <w:t>r “Proposed changes” for CID 1761 in &lt;this document&gt;, which make Measurement Pilot frames indicate slot time in the same way as Beacon etc. frames</w:t>
      </w:r>
      <w:r w:rsidR="00556C5F">
        <w:t>, and tidy up the description of short slot time operation</w:t>
      </w:r>
      <w:r w:rsidR="00BE701B">
        <w:t>.</w:t>
      </w:r>
    </w:p>
    <w:p w14:paraId="719A7F42" w14:textId="45765D1B" w:rsidR="00721F3D" w:rsidRDefault="00721F3D" w:rsidP="00656BDE">
      <w:r>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Figure 17-4 is not an illustration of the transmitted PPDU, it is only showing the traninging fields.</w:t>
            </w:r>
          </w:p>
        </w:tc>
        <w:tc>
          <w:tcPr>
            <w:tcW w:w="2119" w:type="dxa"/>
            <w:hideMark/>
          </w:tcPr>
          <w:p w14:paraId="0CCD2EAA" w14:textId="77777777" w:rsidR="00721F3D" w:rsidRPr="00721F3D" w:rsidRDefault="00721F3D">
            <w:r w:rsidRPr="00721F3D">
              <w:t>We already said at the start of 17.3.2.1 that Figure 17-1 shows the format of the PPDU.  Perhaps just delete the cited sentence?  Or,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r w:rsidRPr="00721F3D">
              <w:t>Is there supposed to be an RCPI in the clause 15 RXVECTOR?  If so, add it to the table, and fix the subclause header of 15.2.3.6.  If not, delete 15.2.3.6.</w:t>
            </w:r>
          </w:p>
        </w:tc>
        <w:tc>
          <w:tcPr>
            <w:tcW w:w="2119" w:type="dxa"/>
            <w:hideMark/>
          </w:tcPr>
          <w:p w14:paraId="351EEDEE" w14:textId="77777777" w:rsidR="00721F3D" w:rsidRPr="00721F3D" w:rsidRDefault="00721F3D">
            <w:r w:rsidRPr="00721F3D">
              <w:t>Either: 1) Change the subclause header to "RXVECTOR RCPI" and add a row to Table 15-2 for the RCPI parameter; or 2) Delete subclause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used in a relative manner" -- it's useless to know just that signal A is stronger than signal B, without knowing how strong signal A and signal B are, or even just the difference in power between signal A and signal B</w:t>
            </w:r>
          </w:p>
        </w:tc>
        <w:tc>
          <w:tcPr>
            <w:tcW w:w="2119" w:type="dxa"/>
            <w:hideMark/>
          </w:tcPr>
          <w:p w14:paraId="5C538CDB" w14:textId="77777777" w:rsidR="00721F3D" w:rsidRPr="00721F3D" w:rsidRDefault="00721F3D">
            <w:r w:rsidRPr="00721F3D">
              <w:t>Clarify how a unitless RSSI is to be used</w:t>
            </w:r>
          </w:p>
        </w:tc>
        <w:tc>
          <w:tcPr>
            <w:tcW w:w="2076" w:type="dxa"/>
            <w:hideMark/>
          </w:tcPr>
          <w:p w14:paraId="0C4F842E" w14:textId="77777777" w:rsidR="00721F3D" w:rsidRPr="00721F3D" w:rsidRDefault="00721F3D">
            <w:r w:rsidRPr="00721F3D">
              <w:t>Any ideas?  Or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nontransmitted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subelement"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In Clauses 16, 18, 23 there is a reference to a TXSTATUS and/or to TIME_OF_DEPARTURE but there is no TXSTATUS parameters subclause (unlike Clauses 15, 17, 19, 20, 21, 24)</w:t>
            </w:r>
          </w:p>
        </w:tc>
        <w:tc>
          <w:tcPr>
            <w:tcW w:w="2119" w:type="dxa"/>
            <w:hideMark/>
          </w:tcPr>
          <w:p w14:paraId="3D318A47" w14:textId="77777777" w:rsidR="00721F3D" w:rsidRPr="00721F3D" w:rsidRDefault="00721F3D">
            <w:r w:rsidRPr="00721F3D">
              <w:t>Add a TXSTATUS parameters subclause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Which PHYs should have ToD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In D3.0 23.3.19 PHY transmit procedure there was a reference to TXSTART(TXSTATUS)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What an "operating class" does and does not specify seems to depend on the subclause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Are there no uses of "direct link" in non-infrastructure BSSes (e.g. PBSS, IBSS, S1G/DMG relay)?  Does Figure 4-12--DMG relay in a DMG BSS show a direct link not necessariily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"Info ID" needs to be "info ID" or have "field" or something appended.  And is it InfoID or Info ID?</w:t>
            </w:r>
          </w:p>
        </w:tc>
        <w:tc>
          <w:tcPr>
            <w:tcW w:w="2119" w:type="dxa"/>
            <w:hideMark/>
          </w:tcPr>
          <w:p w14:paraId="7911E60D" w14:textId="77777777" w:rsidR="009D03B2" w:rsidRPr="009D03B2" w:rsidRDefault="009D03B2">
            <w:r w:rsidRPr="009D03B2">
              <w:t>Either lowercase "Info ID" when not followed by "field", or add "field" when not present.  Change "InfoID"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"Tx"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In 9.6.x, the first subsubsubclause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The case of "transition event request" is inconsistent. It's not clear whether this is a Transition event request (per Table 9-230--Event Type field definitions for event requests and reports) or a Transition Event request (per Table 9-231--Transition Event Request subelement)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"The total duration of the BDT Initiator PPDUs shall not exceed the TXOP limit as described in 10.23.2.3" -- that subclause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Put in the correct xref</w:t>
            </w:r>
          </w:p>
        </w:tc>
        <w:tc>
          <w:tcPr>
            <w:tcW w:w="1985" w:type="dxa"/>
          </w:tcPr>
          <w:p w14:paraId="37E1CE05" w14:textId="6CA97007" w:rsidR="00293C82" w:rsidRPr="00293C82" w:rsidRDefault="00293C82" w:rsidP="00293C82">
            <w:pPr>
              <w:rPr>
                <w:szCs w:val="22"/>
              </w:rPr>
            </w:pPr>
            <w:r w:rsidRPr="00293C82">
              <w:rPr>
                <w:color w:val="000000"/>
                <w:szCs w:val="22"/>
              </w:rPr>
              <w:t>Needs S1G SME to provide the intended xref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There is a lack of clarity on TCs and TCLASes: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In 9.6.3.2.2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MPDU eliciting an NDP BlockAck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2988"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721F3D">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3939" w:type="dxa"/>
            <w:hideMark/>
          </w:tcPr>
          <w:p w14:paraId="27C021D4" w14:textId="77777777" w:rsidR="00721F3D" w:rsidRPr="00721F3D" w:rsidRDefault="00721F3D">
            <w:pPr>
              <w:rPr>
                <w:b/>
                <w:bCs/>
              </w:rPr>
            </w:pPr>
            <w:r w:rsidRPr="00721F3D">
              <w:rPr>
                <w:b/>
                <w:bCs/>
              </w:rPr>
              <w:t>Proposed Change</w:t>
            </w:r>
          </w:p>
        </w:tc>
        <w:tc>
          <w:tcPr>
            <w:tcW w:w="2645"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721F3D">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PLME-CHARACTERISTICS.confirm primitives probably suffice.</w:t>
            </w:r>
          </w:p>
        </w:tc>
        <w:tc>
          <w:tcPr>
            <w:tcW w:w="3939" w:type="dxa"/>
            <w:hideMark/>
          </w:tcPr>
          <w:p w14:paraId="0DB11710" w14:textId="77777777" w:rsidR="00721F3D" w:rsidRPr="00721F3D" w:rsidRDefault="00721F3D">
            <w:r w:rsidRPr="00721F3D">
              <w:t>Add new RELATIVE_TX_RX_FREQ_OFFSET parameter to RXVECTOR and TRIGVECTOR</w:t>
            </w:r>
          </w:p>
        </w:tc>
        <w:tc>
          <w:tcPr>
            <w:tcW w:w="2645" w:type="dxa"/>
            <w:hideMark/>
          </w:tcPr>
          <w:p w14:paraId="5DCE7483" w14:textId="77777777" w:rsidR="00721F3D" w:rsidRPr="00721F3D" w:rsidRDefault="00721F3D">
            <w:commentRangeStart w:id="8"/>
            <w:r w:rsidRPr="00721F3D">
              <w:t>Any objections?</w:t>
            </w:r>
            <w:commentRangeEnd w:id="8"/>
            <w:r w:rsidR="00BE563F">
              <w:rPr>
                <w:rStyle w:val="CommentReference"/>
              </w:rPr>
              <w:commentReference w:id="8"/>
            </w:r>
          </w:p>
        </w:tc>
      </w:tr>
      <w:tr w:rsidR="00721F3D" w:rsidRPr="00721F3D" w14:paraId="32AEA99C" w14:textId="77777777" w:rsidTr="00721F3D">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3939" w:type="dxa"/>
            <w:hideMark/>
          </w:tcPr>
          <w:p w14:paraId="21F4741F" w14:textId="77777777" w:rsidR="00721F3D" w:rsidRPr="00721F3D" w:rsidRDefault="00721F3D">
            <w:r w:rsidRPr="00721F3D">
              <w:t>Deprecate DMG relay operation</w:t>
            </w:r>
          </w:p>
        </w:tc>
        <w:tc>
          <w:tcPr>
            <w:tcW w:w="2645" w:type="dxa"/>
            <w:hideMark/>
          </w:tcPr>
          <w:p w14:paraId="3A1780A2" w14:textId="77777777" w:rsidR="00721F3D" w:rsidRPr="00721F3D" w:rsidRDefault="00721F3D">
            <w:commentRangeStart w:id="9"/>
            <w:r w:rsidRPr="00721F3D">
              <w:t>Any objections?</w:t>
            </w:r>
            <w:commentRangeEnd w:id="9"/>
            <w:r w:rsidR="00BE563F">
              <w:rPr>
                <w:rStyle w:val="CommentReference"/>
              </w:rPr>
              <w:commentReference w:id="9"/>
            </w:r>
          </w:p>
        </w:tc>
      </w:tr>
      <w:tr w:rsidR="00721F3D" w:rsidRPr="00721F3D" w14:paraId="452AFDAF" w14:textId="77777777" w:rsidTr="00721F3D">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3939" w:type="dxa"/>
            <w:hideMark/>
          </w:tcPr>
          <w:p w14:paraId="400ADBE9" w14:textId="77777777" w:rsidR="00721F3D" w:rsidRPr="00721F3D" w:rsidRDefault="00721F3D">
            <w:r w:rsidRPr="00721F3D">
              <w:t>Change the ~9 instances of "standard assumes" to "standard relies on the fact that" (I can provide locations)</w:t>
            </w:r>
          </w:p>
        </w:tc>
        <w:tc>
          <w:tcPr>
            <w:tcW w:w="2645" w:type="dxa"/>
            <w:hideMark/>
          </w:tcPr>
          <w:p w14:paraId="7BA35CC5" w14:textId="77777777" w:rsidR="00721F3D" w:rsidRPr="00721F3D" w:rsidRDefault="00721F3D">
            <w:commentRangeStart w:id="10"/>
            <w:r w:rsidRPr="00721F3D">
              <w:t>Any objections?  E.g.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10"/>
            <w:r w:rsidR="00BE563F">
              <w:rPr>
                <w:rStyle w:val="CommentReference"/>
              </w:rPr>
              <w:commentReference w:id="10"/>
            </w:r>
          </w:p>
        </w:tc>
      </w:tr>
      <w:tr w:rsidR="00721F3D" w:rsidRPr="00721F3D" w14:paraId="4A5A1D18" w14:textId="77777777" w:rsidTr="00721F3D">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3939" w:type="dxa"/>
            <w:hideMark/>
          </w:tcPr>
          <w:p w14:paraId="6B7D92DA" w14:textId="77777777" w:rsidR="00721F3D" w:rsidRPr="00721F3D" w:rsidRDefault="00721F3D">
            <w:r w:rsidRPr="00721F3D">
              <w:t>Change to "replay counters" (I can provide locations)</w:t>
            </w:r>
          </w:p>
        </w:tc>
        <w:tc>
          <w:tcPr>
            <w:tcW w:w="2645" w:type="dxa"/>
            <w:hideMark/>
          </w:tcPr>
          <w:p w14:paraId="4B77B4A6" w14:textId="77777777" w:rsidR="00721F3D" w:rsidRPr="00721F3D" w:rsidRDefault="00721F3D">
            <w:commentRangeStart w:id="11"/>
            <w:r w:rsidRPr="00721F3D">
              <w:t>E.g. "Value to which the RSC(s) is initialized." at 490.23 (and other locations in C6);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11"/>
            <w:r w:rsidR="00BE563F">
              <w:rPr>
                <w:rStyle w:val="CommentReference"/>
              </w:rPr>
              <w:commentReference w:id="11"/>
            </w:r>
          </w:p>
        </w:tc>
      </w:tr>
      <w:tr w:rsidR="00721F3D" w:rsidRPr="00721F3D" w14:paraId="29F67ACE" w14:textId="77777777" w:rsidTr="00721F3D">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r w:rsidRPr="00721F3D">
              <w:t>Assaf KASHER reported that "A device can avoid beam tracking by setting the Beam tracking time limit to 0." (DMG).  Is this desirable?</w:t>
            </w:r>
          </w:p>
        </w:tc>
        <w:tc>
          <w:tcPr>
            <w:tcW w:w="3939" w:type="dxa"/>
            <w:hideMark/>
          </w:tcPr>
          <w:p w14:paraId="02C741CB" w14:textId="77777777" w:rsidR="00721F3D" w:rsidRPr="00721F3D" w:rsidRDefault="00721F3D">
            <w:r w:rsidRPr="00721F3D">
              <w:t>Specify that devices shall not set the beam tracking time limit to 0</w:t>
            </w:r>
          </w:p>
        </w:tc>
        <w:tc>
          <w:tcPr>
            <w:tcW w:w="2645" w:type="dxa"/>
            <w:hideMark/>
          </w:tcPr>
          <w:p w14:paraId="3133C417" w14:textId="77777777" w:rsidR="00721F3D" w:rsidRPr="00721F3D" w:rsidRDefault="00721F3D">
            <w:commentRangeStart w:id="12"/>
            <w:r w:rsidRPr="00721F3D">
              <w:t>Any objections?</w:t>
            </w:r>
            <w:commentRangeEnd w:id="12"/>
            <w:r w:rsidR="00BE563F">
              <w:rPr>
                <w:rStyle w:val="CommentReference"/>
              </w:rPr>
              <w:commentReference w:id="12"/>
            </w:r>
          </w:p>
        </w:tc>
      </w:tr>
      <w:tr w:rsidR="00721F3D" w:rsidRPr="00721F3D" w14:paraId="058FBBB7" w14:textId="77777777" w:rsidTr="00721F3D">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3939" w:type="dxa"/>
            <w:hideMark/>
          </w:tcPr>
          <w:p w14:paraId="33D45E5C" w14:textId="77777777" w:rsidR="00721F3D" w:rsidRPr="00721F3D" w:rsidRDefault="00721F3D">
            <w:r w:rsidRPr="00721F3D">
              <w:t>Refer to a number of beacon intervals instead</w:t>
            </w:r>
          </w:p>
        </w:tc>
        <w:tc>
          <w:tcPr>
            <w:tcW w:w="2645" w:type="dxa"/>
            <w:hideMark/>
          </w:tcPr>
          <w:p w14:paraId="7534CC54" w14:textId="77777777" w:rsidR="00721F3D" w:rsidRPr="00721F3D" w:rsidRDefault="00721F3D">
            <w:commentRangeStart w:id="13"/>
            <w:r w:rsidRPr="00721F3D">
              <w:t>Maybe reject based on "a series of TBTTs" in 11.1.3.2?</w:t>
            </w:r>
            <w:commentRangeEnd w:id="13"/>
            <w:r w:rsidR="00BE563F">
              <w:rPr>
                <w:rStyle w:val="CommentReference"/>
              </w:rPr>
              <w:commentReference w:id="13"/>
            </w:r>
          </w:p>
        </w:tc>
      </w:tr>
      <w:tr w:rsidR="00721F3D" w:rsidRPr="00721F3D" w14:paraId="64362BFC" w14:textId="77777777" w:rsidTr="00721F3D">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r w:rsidRPr="00721F3D">
              <w:t>There is no benefit, only possible doubt/confusion, in defining a standalone field that is only used in one element.  Such fields should just be defined directly in the context of the element</w:t>
            </w:r>
          </w:p>
        </w:tc>
        <w:tc>
          <w:tcPr>
            <w:tcW w:w="3939" w:type="dxa"/>
            <w:hideMark/>
          </w:tcPr>
          <w:p w14:paraId="60A85BF3" w14:textId="77777777" w:rsidR="00721F3D" w:rsidRPr="00721F3D" w:rsidRDefault="00721F3D">
            <w:r w:rsidRPr="00721F3D">
              <w:t>Remove any "field" subclause that is only used in one element/frame, and move it to that element/frame's subclause</w:t>
            </w:r>
          </w:p>
        </w:tc>
        <w:tc>
          <w:tcPr>
            <w:tcW w:w="2645" w:type="dxa"/>
            <w:hideMark/>
          </w:tcPr>
          <w:p w14:paraId="35DC6C5E" w14:textId="77777777" w:rsidR="00721F3D" w:rsidRPr="00721F3D" w:rsidRDefault="00721F3D">
            <w:commentRangeStart w:id="14"/>
            <w:r w:rsidRPr="00721F3D">
              <w:t>E.g. DELBA Parameter Set, Originator Preferred MCS, SM Power Control, Sync Control</w:t>
            </w:r>
            <w:commentRangeEnd w:id="14"/>
            <w:r w:rsidR="00AE2832">
              <w:rPr>
                <w:rStyle w:val="CommentReference"/>
              </w:rPr>
              <w:commentReference w:id="14"/>
            </w:r>
          </w:p>
        </w:tc>
      </w:tr>
      <w:tr w:rsidR="00721F3D" w:rsidRPr="00721F3D" w14:paraId="73BBBA77" w14:textId="77777777" w:rsidTr="00721F3D">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939" w:type="dxa"/>
            <w:hideMark/>
          </w:tcPr>
          <w:p w14:paraId="6F4BE41A" w14:textId="77777777" w:rsidR="00721F3D" w:rsidRPr="00721F3D" w:rsidRDefault="00721F3D">
            <w:r w:rsidRPr="00721F3D">
              <w:t>Change "transient key" to "temporal key" throughout (I can provide locations)</w:t>
            </w:r>
          </w:p>
        </w:tc>
        <w:tc>
          <w:tcPr>
            <w:tcW w:w="2645" w:type="dxa"/>
            <w:hideMark/>
          </w:tcPr>
          <w:p w14:paraId="4D7A9BE7" w14:textId="77777777" w:rsidR="00721F3D" w:rsidRPr="00721F3D" w:rsidRDefault="00721F3D">
            <w:commentRangeStart w:id="15"/>
            <w:r w:rsidRPr="00721F3D">
              <w:t>Any objections?  ~20 instances</w:t>
            </w:r>
            <w:commentRangeEnd w:id="15"/>
            <w:r w:rsidR="00AE2832">
              <w:rPr>
                <w:rStyle w:val="CommentReference"/>
              </w:rPr>
              <w:commentReference w:id="15"/>
            </w:r>
          </w:p>
        </w:tc>
      </w:tr>
      <w:tr w:rsidR="00721F3D" w:rsidRPr="00721F3D" w14:paraId="18EEBDE6" w14:textId="77777777" w:rsidTr="00721F3D">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939"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dependent aAirPropagationTime (see Table 9-131 (Coverage Class field</w:t>
            </w:r>
            <w:r w:rsidRPr="00721F3D">
              <w:br/>
              <w:t>parameters))"</w:t>
            </w:r>
          </w:p>
        </w:tc>
        <w:tc>
          <w:tcPr>
            <w:tcW w:w="2645" w:type="dxa"/>
            <w:hideMark/>
          </w:tcPr>
          <w:p w14:paraId="386F17BF" w14:textId="77777777" w:rsidR="00721F3D" w:rsidRPr="00721F3D" w:rsidRDefault="00721F3D">
            <w:commentRangeStart w:id="16"/>
            <w:r w:rsidRPr="00721F3D">
              <w:t>Any objections?  Or should coverage classes be deprecated?</w:t>
            </w:r>
            <w:commentRangeEnd w:id="16"/>
            <w:r w:rsidR="006443E5">
              <w:rPr>
                <w:rStyle w:val="CommentReference"/>
              </w:rPr>
              <w:commentReference w:id="16"/>
            </w:r>
          </w:p>
        </w:tc>
      </w:tr>
      <w:tr w:rsidR="00721F3D" w:rsidRPr="00721F3D" w14:paraId="1155AD27" w14:textId="77777777" w:rsidTr="00721F3D">
        <w:trPr>
          <w:trHeight w:val="1530"/>
        </w:trPr>
        <w:tc>
          <w:tcPr>
            <w:tcW w:w="656" w:type="dxa"/>
            <w:hideMark/>
          </w:tcPr>
          <w:p w14:paraId="19F7ED49" w14:textId="77777777" w:rsidR="00721F3D" w:rsidRPr="00721F3D" w:rsidRDefault="00721F3D" w:rsidP="00721F3D">
            <w:r w:rsidRPr="00721F3D">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3939" w:type="dxa"/>
            <w:hideMark/>
          </w:tcPr>
          <w:p w14:paraId="5B8F33E1" w14:textId="77777777" w:rsidR="00721F3D" w:rsidRPr="00721F3D" w:rsidRDefault="00721F3D">
            <w:r w:rsidRPr="00721F3D">
              <w:t>Delete "entire " throughout (5x -- I can provide locations)</w:t>
            </w:r>
          </w:p>
        </w:tc>
        <w:tc>
          <w:tcPr>
            <w:tcW w:w="2645"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721F3D">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3939"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2645" w:type="dxa"/>
            <w:hideMark/>
          </w:tcPr>
          <w:p w14:paraId="12C10B49" w14:textId="77777777" w:rsidR="00721F3D" w:rsidRPr="00721F3D" w:rsidRDefault="00721F3D">
            <w:r w:rsidRPr="00721F3D">
              <w:t>Any objections?  Some reflector discussion</w:t>
            </w:r>
          </w:p>
        </w:tc>
      </w:tr>
      <w:tr w:rsidR="00721F3D" w:rsidRPr="00721F3D" w14:paraId="0CC389FE" w14:textId="77777777" w:rsidTr="00721F3D">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3939" w:type="dxa"/>
            <w:hideMark/>
          </w:tcPr>
          <w:p w14:paraId="048497CE" w14:textId="77777777" w:rsidR="00721F3D" w:rsidRPr="00721F3D" w:rsidRDefault="00721F3D">
            <w:r w:rsidRPr="00721F3D">
              <w:t>Change "may" to "might" in all of the following instances:</w:t>
            </w:r>
            <w:r w:rsidRPr="00721F3D">
              <w:br/>
              <w:t>If, for example, a STA has made and had accepted an explicit admission for a TS and the channel conditions</w:t>
            </w:r>
            <w:r w:rsidRPr="00721F3D">
              <w:br/>
              <w:t>subsequently worsen, possibly including a change in PHY data rate so that it requires more time to send the</w:t>
            </w:r>
            <w:r w:rsidRPr="00721F3D">
              <w:br/>
              <w:t>same data, the STA may make a request for more admitted_time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For example, when the resource being requested is QoS for downstream traffic, a TSPEC element may be</w:t>
            </w:r>
            <w:r w:rsidRPr="00721F3D">
              <w:br/>
              <w:t>followed by one or more TCLAS elements</w:t>
            </w:r>
            <w:r w:rsidRPr="00721F3D">
              <w:br/>
              <w:t>For example, when the resource being</w:t>
            </w:r>
            <w:r w:rsidRPr="00721F3D">
              <w:br/>
              <w:t>requested is QoS for upstream traffic, the TSPEC element may be followed by a Schedule element.</w:t>
            </w:r>
            <w:r w:rsidRPr="00721F3D">
              <w:br/>
              <w:t>The alternate destination may be an</w:t>
            </w:r>
            <w:r w:rsidRPr="00721F3D">
              <w:br/>
              <w:t>internet address on an Ethernet adapter, for example, to be used when the</w:t>
            </w:r>
            <w:r w:rsidRPr="00721F3D">
              <w:br/>
              <w:t>wireless link to the requesting entity is unavailable or unreliable."</w:t>
            </w:r>
            <w:r w:rsidRPr="00721F3D">
              <w:br/>
              <w:t>Also:</w:t>
            </w:r>
            <w:r w:rsidRPr="00721F3D">
              <w:br/>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t>A mesh STA may use group addressed or individually addressed Mesh Data or QoS Null frames to change</w:t>
            </w:r>
            <w:r w:rsidRPr="00721F3D">
              <w:br/>
              <w:t>its mesh power management mode to a higher activity level, for example;</w:t>
            </w:r>
          </w:p>
        </w:tc>
        <w:tc>
          <w:tcPr>
            <w:tcW w:w="2645"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721F3D">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3939"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2645" w:type="dxa"/>
            <w:hideMark/>
          </w:tcPr>
          <w:p w14:paraId="6494591B" w14:textId="77777777" w:rsidR="00721F3D" w:rsidRPr="00721F3D" w:rsidRDefault="00721F3D">
            <w:r w:rsidRPr="00721F3D">
              <w:t>Any objections?  ~10 instances</w:t>
            </w:r>
          </w:p>
        </w:tc>
      </w:tr>
      <w:tr w:rsidR="00721F3D" w:rsidRPr="00721F3D" w14:paraId="2255CD3B" w14:textId="77777777" w:rsidTr="00721F3D">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r w:rsidRPr="00721F3D">
              <w:br w:type="page"/>
              <w:t>this includes forwarding to unassociated STAs in the PBSS, or whether B and C</w:t>
            </w:r>
            <w:r w:rsidRPr="00721F3D">
              <w:br w:type="page"/>
              <w:t>need to do the last bullet to exchange data with D and E?]</w:t>
            </w:r>
          </w:p>
        </w:tc>
        <w:tc>
          <w:tcPr>
            <w:tcW w:w="3939" w:type="dxa"/>
            <w:hideMark/>
          </w:tcPr>
          <w:p w14:paraId="07E32A73" w14:textId="77777777" w:rsidR="00721F3D" w:rsidRPr="00721F3D" w:rsidRDefault="00721F3D">
            <w:r w:rsidRPr="00721F3D">
              <w:t>Get a DMG SME to clarify</w:t>
            </w:r>
          </w:p>
        </w:tc>
        <w:tc>
          <w:tcPr>
            <w:tcW w:w="2645" w:type="dxa"/>
            <w:hideMark/>
          </w:tcPr>
          <w:p w14:paraId="30E02770" w14:textId="77777777" w:rsidR="00721F3D" w:rsidRPr="00721F3D" w:rsidRDefault="00721F3D">
            <w:r w:rsidRPr="00721F3D">
              <w:t>Any objections?  See also 1720</w:t>
            </w:r>
          </w:p>
        </w:tc>
      </w:tr>
      <w:tr w:rsidR="00721F3D" w:rsidRPr="00721F3D" w14:paraId="56E662A3" w14:textId="77777777" w:rsidTr="00721F3D">
        <w:trPr>
          <w:trHeight w:val="1785"/>
        </w:trPr>
        <w:tc>
          <w:tcPr>
            <w:tcW w:w="656" w:type="dxa"/>
            <w:hideMark/>
          </w:tcPr>
          <w:p w14:paraId="50AF063B" w14:textId="77777777" w:rsidR="00721F3D" w:rsidRPr="00721F3D" w:rsidRDefault="00721F3D" w:rsidP="00721F3D">
            <w:r w:rsidRPr="00721F3D">
              <w:t>1927</w:t>
            </w:r>
          </w:p>
        </w:tc>
        <w:tc>
          <w:tcPr>
            <w:tcW w:w="931" w:type="dxa"/>
            <w:hideMark/>
          </w:tcPr>
          <w:p w14:paraId="658EEF4E" w14:textId="77777777" w:rsidR="00721F3D" w:rsidRPr="00721F3D" w:rsidRDefault="00721F3D" w:rsidP="00721F3D"/>
        </w:tc>
        <w:tc>
          <w:tcPr>
            <w:tcW w:w="644" w:type="dxa"/>
            <w:hideMark/>
          </w:tcPr>
          <w:p w14:paraId="377F766D" w14:textId="77777777" w:rsidR="00721F3D" w:rsidRPr="00721F3D" w:rsidRDefault="00721F3D"/>
        </w:tc>
        <w:tc>
          <w:tcPr>
            <w:tcW w:w="852" w:type="dxa"/>
            <w:hideMark/>
          </w:tcPr>
          <w:p w14:paraId="2FEF0D70" w14:textId="77777777" w:rsidR="00721F3D" w:rsidRPr="00721F3D" w:rsidRDefault="00721F3D"/>
        </w:tc>
        <w:tc>
          <w:tcPr>
            <w:tcW w:w="3321" w:type="dxa"/>
            <w:hideMark/>
          </w:tcPr>
          <w:p w14:paraId="00E3535D" w14:textId="77777777" w:rsidR="00721F3D" w:rsidRPr="00721F3D" w:rsidRDefault="00721F3D">
            <w:r w:rsidRPr="00721F3D">
              <w:t>The SCRAMBLER_INITIAL_VALUE is not the initial value of the scrambler, it's the value in the SERVICE field after scrambling</w:t>
            </w:r>
          </w:p>
        </w:tc>
        <w:tc>
          <w:tcPr>
            <w:tcW w:w="3939" w:type="dxa"/>
            <w:hideMark/>
          </w:tcPr>
          <w:p w14:paraId="2C01C9D0" w14:textId="77777777" w:rsidR="00721F3D" w:rsidRPr="00721F3D" w:rsidRDefault="00721F3D">
            <w:r w:rsidRPr="00721F3D">
              <w:t>Change "SCRAMBLER_INITIAL_VALUE" to "SCRAMBLER_SCRAMBLED_SERVICE_VALUE" throughout (I can provide locations)</w:t>
            </w:r>
          </w:p>
        </w:tc>
        <w:tc>
          <w:tcPr>
            <w:tcW w:w="2645" w:type="dxa"/>
            <w:hideMark/>
          </w:tcPr>
          <w:p w14:paraId="5BA7FECA" w14:textId="77777777" w:rsidR="00721F3D" w:rsidRPr="00721F3D" w:rsidRDefault="00721F3D">
            <w:r w:rsidRPr="00721F3D">
              <w:t>Any objections?</w:t>
            </w:r>
          </w:p>
        </w:tc>
      </w:tr>
      <w:tr w:rsidR="00721F3D" w:rsidRPr="00721F3D" w14:paraId="2F2C63B6" w14:textId="77777777" w:rsidTr="00721F3D">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3939"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2645" w:type="dxa"/>
            <w:hideMark/>
          </w:tcPr>
          <w:p w14:paraId="3180A450" w14:textId="77777777" w:rsidR="00721F3D" w:rsidRPr="00721F3D" w:rsidRDefault="00721F3D">
            <w:r w:rsidRPr="00721F3D">
              <w:t>Any objections?</w:t>
            </w:r>
          </w:p>
        </w:tc>
      </w:tr>
      <w:tr w:rsidR="00721F3D" w:rsidRPr="00721F3D" w14:paraId="70328EE4" w14:textId="77777777" w:rsidTr="00721F3D">
        <w:trPr>
          <w:trHeight w:val="1785"/>
        </w:trPr>
        <w:tc>
          <w:tcPr>
            <w:tcW w:w="656" w:type="dxa"/>
            <w:hideMark/>
          </w:tcPr>
          <w:p w14:paraId="54F9FE01" w14:textId="77777777" w:rsidR="00721F3D" w:rsidRPr="00721F3D" w:rsidRDefault="00721F3D" w:rsidP="00721F3D">
            <w:r w:rsidRPr="00721F3D">
              <w:t>1996</w:t>
            </w:r>
          </w:p>
        </w:tc>
        <w:tc>
          <w:tcPr>
            <w:tcW w:w="931" w:type="dxa"/>
            <w:hideMark/>
          </w:tcPr>
          <w:p w14:paraId="159251BF" w14:textId="77777777" w:rsidR="00721F3D" w:rsidRPr="00721F3D" w:rsidRDefault="00721F3D" w:rsidP="00721F3D"/>
        </w:tc>
        <w:tc>
          <w:tcPr>
            <w:tcW w:w="644" w:type="dxa"/>
            <w:hideMark/>
          </w:tcPr>
          <w:p w14:paraId="2956B6A6" w14:textId="77777777" w:rsidR="00721F3D" w:rsidRPr="00721F3D" w:rsidRDefault="00721F3D"/>
        </w:tc>
        <w:tc>
          <w:tcPr>
            <w:tcW w:w="852" w:type="dxa"/>
            <w:hideMark/>
          </w:tcPr>
          <w:p w14:paraId="7EA9C2DC" w14:textId="77777777" w:rsidR="00721F3D" w:rsidRPr="00721F3D" w:rsidRDefault="00721F3D"/>
        </w:tc>
        <w:tc>
          <w:tcPr>
            <w:tcW w:w="3321" w:type="dxa"/>
            <w:hideMark/>
          </w:tcPr>
          <w:p w14:paraId="51A579D7" w14:textId="77777777" w:rsidR="00721F3D" w:rsidRPr="00721F3D" w:rsidRDefault="00721F3D">
            <w:r w:rsidRPr="00721F3D">
              <w:t>"A-MSDU frame" is not clear</w:t>
            </w:r>
          </w:p>
        </w:tc>
        <w:tc>
          <w:tcPr>
            <w:tcW w:w="3939" w:type="dxa"/>
            <w:hideMark/>
          </w:tcPr>
          <w:p w14:paraId="54401A20" w14:textId="77777777" w:rsidR="00721F3D" w:rsidRPr="00721F3D" w:rsidRDefault="00721F3D">
            <w:r w:rsidRPr="00721F3D">
              <w:t>Change each of the ~12 instances to "MPDU that contains an A-MSDU" (I can provide locations)</w:t>
            </w:r>
          </w:p>
        </w:tc>
        <w:tc>
          <w:tcPr>
            <w:tcW w:w="2645" w:type="dxa"/>
            <w:hideMark/>
          </w:tcPr>
          <w:p w14:paraId="3A37227B" w14:textId="77777777" w:rsidR="00721F3D" w:rsidRPr="00721F3D" w:rsidRDefault="00721F3D">
            <w:r w:rsidRPr="00721F3D">
              <w:t xml:space="preserve">Any objections?  E.g. 2913.54 "A-MSDU subframes within an individually addressed A-MSDU frame", 5561.42 "an </w:t>
            </w:r>
            <w:r w:rsidRPr="00721F3D">
              <w:lastRenderedPageBreak/>
              <w:t>acknowledged A-MSDU frame"</w:t>
            </w:r>
          </w:p>
        </w:tc>
      </w:tr>
      <w:tr w:rsidR="00721F3D" w:rsidRPr="00721F3D" w14:paraId="741995C2" w14:textId="77777777" w:rsidTr="00721F3D">
        <w:trPr>
          <w:trHeight w:val="2805"/>
        </w:trPr>
        <w:tc>
          <w:tcPr>
            <w:tcW w:w="656" w:type="dxa"/>
            <w:hideMark/>
          </w:tcPr>
          <w:p w14:paraId="5EA0A23C" w14:textId="77777777" w:rsidR="00721F3D" w:rsidRPr="00721F3D" w:rsidRDefault="00721F3D" w:rsidP="00721F3D">
            <w:r w:rsidRPr="00721F3D">
              <w:lastRenderedPageBreak/>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3939" w:type="dxa"/>
            <w:hideMark/>
          </w:tcPr>
          <w:p w14:paraId="0535FED0" w14:textId="77777777" w:rsidR="00721F3D" w:rsidRPr="00721F3D" w:rsidRDefault="00721F3D">
            <w:r w:rsidRPr="00721F3D">
              <w:t>Change each instance to "individually addressed MPDU containing an A-MSDU" (I can provide locations)</w:t>
            </w:r>
          </w:p>
        </w:tc>
        <w:tc>
          <w:tcPr>
            <w:tcW w:w="2645" w:type="dxa"/>
            <w:hideMark/>
          </w:tcPr>
          <w:p w14:paraId="037D2C4F" w14:textId="77777777" w:rsidR="00721F3D" w:rsidRPr="00721F3D" w:rsidRDefault="00721F3D">
            <w:r w:rsidRPr="00721F3D">
              <w:t>Any objections?  E.g. 913.30 "the</w:t>
            </w:r>
            <w:r w:rsidRPr="00721F3D">
              <w:br w:type="page"/>
              <w:t>sequence number of the corresponding individually addressed A-MSDUs"</w:t>
            </w:r>
          </w:p>
        </w:tc>
      </w:tr>
      <w:tr w:rsidR="00721F3D" w:rsidRPr="00721F3D" w14:paraId="67DE901B" w14:textId="77777777" w:rsidTr="00721F3D">
        <w:trPr>
          <w:trHeight w:val="2040"/>
        </w:trPr>
        <w:tc>
          <w:tcPr>
            <w:tcW w:w="656" w:type="dxa"/>
            <w:hideMark/>
          </w:tcPr>
          <w:p w14:paraId="1493231F" w14:textId="77777777" w:rsidR="00721F3D" w:rsidRPr="00721F3D" w:rsidRDefault="00721F3D" w:rsidP="00721F3D">
            <w:r w:rsidRPr="00721F3D">
              <w:t>2048</w:t>
            </w:r>
          </w:p>
        </w:tc>
        <w:tc>
          <w:tcPr>
            <w:tcW w:w="931" w:type="dxa"/>
            <w:hideMark/>
          </w:tcPr>
          <w:p w14:paraId="6BB7289C" w14:textId="77777777" w:rsidR="00721F3D" w:rsidRPr="00721F3D" w:rsidRDefault="00721F3D" w:rsidP="00721F3D"/>
        </w:tc>
        <w:tc>
          <w:tcPr>
            <w:tcW w:w="644" w:type="dxa"/>
            <w:hideMark/>
          </w:tcPr>
          <w:p w14:paraId="6C9DEC65" w14:textId="77777777" w:rsidR="00721F3D" w:rsidRPr="00721F3D" w:rsidRDefault="00721F3D"/>
        </w:tc>
        <w:tc>
          <w:tcPr>
            <w:tcW w:w="852" w:type="dxa"/>
            <w:hideMark/>
          </w:tcPr>
          <w:p w14:paraId="0182C51F" w14:textId="77777777" w:rsidR="00721F3D" w:rsidRPr="00721F3D" w:rsidRDefault="00721F3D"/>
        </w:tc>
        <w:tc>
          <w:tcPr>
            <w:tcW w:w="3321" w:type="dxa"/>
            <w:hideMark/>
          </w:tcPr>
          <w:p w14:paraId="10D0F56E" w14:textId="77777777" w:rsidR="00721F3D" w:rsidRPr="00721F3D" w:rsidRDefault="00721F3D">
            <w:r w:rsidRPr="00721F3D">
              <w:t>The claimed distinction between "collocated" and "co-located" is a fantasy, and it is guaranteed to lead to immediate spec rot.  Alternatively, at least define the distinction in the spec.  (See CID 4800 in REVmd)</w:t>
            </w:r>
          </w:p>
        </w:tc>
        <w:tc>
          <w:tcPr>
            <w:tcW w:w="3939" w:type="dxa"/>
            <w:hideMark/>
          </w:tcPr>
          <w:p w14:paraId="3B643529" w14:textId="77777777" w:rsidR="00721F3D" w:rsidRPr="00721F3D" w:rsidRDefault="00721F3D">
            <w:r w:rsidRPr="00721F3D">
              <w:t>Change "co-located" (case-insensitively) to "collocated" (case-preservingly).  I can provide locations.  Also change "Colocated" to "Collocated" in C.3 (5286.14/28)</w:t>
            </w:r>
          </w:p>
        </w:tc>
        <w:tc>
          <w:tcPr>
            <w:tcW w:w="2645" w:type="dxa"/>
            <w:hideMark/>
          </w:tcPr>
          <w:p w14:paraId="0E582DB7" w14:textId="77777777" w:rsidR="00721F3D" w:rsidRPr="00721F3D" w:rsidRDefault="00721F3D">
            <w:r w:rsidRPr="00721F3D">
              <w:t>Any objections?  ~90 locations</w:t>
            </w:r>
          </w:p>
        </w:tc>
      </w:tr>
      <w:tr w:rsidR="00721F3D" w:rsidRPr="00721F3D" w14:paraId="1909BA40" w14:textId="77777777" w:rsidTr="00721F3D">
        <w:trPr>
          <w:trHeight w:val="3570"/>
        </w:trPr>
        <w:tc>
          <w:tcPr>
            <w:tcW w:w="656" w:type="dxa"/>
            <w:hideMark/>
          </w:tcPr>
          <w:p w14:paraId="604B58B6" w14:textId="77777777" w:rsidR="00721F3D" w:rsidRPr="00721F3D" w:rsidRDefault="00721F3D" w:rsidP="00721F3D">
            <w:r w:rsidRPr="00721F3D">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3939"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2645" w:type="dxa"/>
            <w:hideMark/>
          </w:tcPr>
          <w:p w14:paraId="57EF7935" w14:textId="77777777" w:rsidR="00721F3D" w:rsidRPr="00721F3D" w:rsidRDefault="00721F3D">
            <w:r w:rsidRPr="00721F3D">
              <w:t>Any objections?</w:t>
            </w:r>
          </w:p>
        </w:tc>
      </w:tr>
      <w:tr w:rsidR="00721F3D" w:rsidRPr="00721F3D" w14:paraId="2B4ACF70" w14:textId="77777777" w:rsidTr="00721F3D">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3939" w:type="dxa"/>
            <w:hideMark/>
          </w:tcPr>
          <w:p w14:paraId="75FFBE8A" w14:textId="77777777" w:rsidR="00721F3D" w:rsidRPr="00721F3D" w:rsidRDefault="00721F3D">
            <w:r w:rsidRPr="00721F3D">
              <w:t>Rename TIM frames to TIM Broadcast frames (I can provide locations)</w:t>
            </w:r>
          </w:p>
        </w:tc>
        <w:tc>
          <w:tcPr>
            <w:tcW w:w="2645" w:type="dxa"/>
            <w:hideMark/>
          </w:tcPr>
          <w:p w14:paraId="6F3DA75F" w14:textId="77777777" w:rsidR="00721F3D" w:rsidRPr="00721F3D" w:rsidRDefault="00721F3D">
            <w:r w:rsidRPr="00721F3D">
              <w:t>Any objections?  ~80 instances</w:t>
            </w:r>
          </w:p>
        </w:tc>
      </w:tr>
      <w:tr w:rsidR="00721F3D" w:rsidRPr="00721F3D" w14:paraId="199142C2" w14:textId="77777777" w:rsidTr="00721F3D">
        <w:trPr>
          <w:trHeight w:val="5865"/>
        </w:trPr>
        <w:tc>
          <w:tcPr>
            <w:tcW w:w="656" w:type="dxa"/>
            <w:hideMark/>
          </w:tcPr>
          <w:p w14:paraId="7004D320" w14:textId="77777777" w:rsidR="00721F3D" w:rsidRPr="00721F3D" w:rsidRDefault="00721F3D" w:rsidP="00721F3D">
            <w:r w:rsidRPr="00721F3D">
              <w:lastRenderedPageBreak/>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The whole "field" v. "subfield" thing is just a big inconsistent mess (e.g. in the subclause for Reduced Neighbor Report element some things in the Neighbor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3939" w:type="dxa"/>
            <w:hideMark/>
          </w:tcPr>
          <w:p w14:paraId="01370A64" w14:textId="77777777" w:rsidR="00721F3D" w:rsidRPr="00721F3D" w:rsidRDefault="00721F3D">
            <w:r w:rsidRPr="00721F3D">
              <w:t>Change "subfield" to "field" throughout (I can provide locations)</w:t>
            </w:r>
          </w:p>
        </w:tc>
        <w:tc>
          <w:tcPr>
            <w:tcW w:w="2645" w:type="dxa"/>
            <w:hideMark/>
          </w:tcPr>
          <w:p w14:paraId="37963C3A" w14:textId="77777777" w:rsidR="00721F3D" w:rsidRPr="00721F3D" w:rsidRDefault="00721F3D">
            <w:r w:rsidRPr="00721F3D">
              <w:t>Any objections?</w:t>
            </w:r>
          </w:p>
        </w:tc>
      </w:tr>
      <w:tr w:rsidR="00721F3D" w:rsidRPr="00721F3D" w14:paraId="1CEF297D" w14:textId="77777777" w:rsidTr="00721F3D">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We have a ProbeDelay in the SCAN.req and a NAVSyncDelay in the START.req and JOIN.req.  The former should only be used for scanning; the latter should be used not just when changing from doze to awake but also when changing to a new channel</w:t>
            </w:r>
          </w:p>
        </w:tc>
        <w:tc>
          <w:tcPr>
            <w:tcW w:w="3939" w:type="dxa"/>
            <w:hideMark/>
          </w:tcPr>
          <w:p w14:paraId="084B3858" w14:textId="77777777" w:rsidR="00721F3D" w:rsidRPr="00721F3D" w:rsidRDefault="00721F3D">
            <w:r w:rsidRPr="00721F3D">
              <w:t>In Clause 6 describe the NAVSyncDelay as also being used after switching channel.  In 10.39.7.1 refer to the NAVSyncDelay not the ProbeDelay.  In 11.2.3.2 say the NAVSyncDelay is also used after switching channel</w:t>
            </w:r>
          </w:p>
        </w:tc>
        <w:tc>
          <w:tcPr>
            <w:tcW w:w="2645" w:type="dxa"/>
            <w:hideMark/>
          </w:tcPr>
          <w:p w14:paraId="48BD3034" w14:textId="77777777" w:rsidR="00721F3D" w:rsidRPr="00721F3D" w:rsidRDefault="00721F3D">
            <w:r w:rsidRPr="00721F3D">
              <w:t>Any objections?</w:t>
            </w:r>
          </w:p>
        </w:tc>
      </w:tr>
      <w:tr w:rsidR="00721F3D" w:rsidRPr="00721F3D" w14:paraId="4AAE5331" w14:textId="77777777" w:rsidTr="00721F3D">
        <w:trPr>
          <w:trHeight w:val="2040"/>
        </w:trPr>
        <w:tc>
          <w:tcPr>
            <w:tcW w:w="656" w:type="dxa"/>
            <w:hideMark/>
          </w:tcPr>
          <w:p w14:paraId="1E1757C9" w14:textId="77777777" w:rsidR="00721F3D" w:rsidRPr="00721F3D" w:rsidRDefault="00721F3D" w:rsidP="00721F3D">
            <w:r w:rsidRPr="00721F3D">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The rules on addressing (RA, TA, DA, SA) are not clear, especially in the context of A-MSDUs.  There are also editorial issues</w:t>
            </w:r>
          </w:p>
        </w:tc>
        <w:tc>
          <w:tcPr>
            <w:tcW w:w="3939" w:type="dxa"/>
            <w:hideMark/>
          </w:tcPr>
          <w:p w14:paraId="38582571" w14:textId="77777777" w:rsidR="00721F3D" w:rsidRPr="00721F3D" w:rsidRDefault="00721F3D">
            <w:r w:rsidRPr="00721F3D">
              <w:t>Make the changes shown in 21/0816 (latest revision)</w:t>
            </w:r>
          </w:p>
        </w:tc>
        <w:tc>
          <w:tcPr>
            <w:tcW w:w="2645" w:type="dxa"/>
            <w:hideMark/>
          </w:tcPr>
          <w:p w14:paraId="28A12FAA" w14:textId="77777777" w:rsidR="00721F3D" w:rsidRPr="00721F3D" w:rsidRDefault="00721F3D">
            <w:r w:rsidRPr="00721F3D">
              <w:t>The changes identified are probably not complete, but does the group agree with the direction?</w:t>
            </w:r>
          </w:p>
        </w:tc>
      </w:tr>
      <w:tr w:rsidR="00721F3D" w:rsidRPr="00721F3D" w14:paraId="187EE503" w14:textId="77777777" w:rsidTr="00721F3D">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"Channel Center Frequency Segment 0" is confusing because it actually gives a channel number not a channel frequency (which requires the channel starting factor to be known)</w:t>
            </w:r>
          </w:p>
        </w:tc>
        <w:tc>
          <w:tcPr>
            <w:tcW w:w="3939" w:type="dxa"/>
            <w:hideMark/>
          </w:tcPr>
          <w:p w14:paraId="5DB5F52E" w14:textId="77777777" w:rsidR="00721F3D" w:rsidRPr="00721F3D" w:rsidRDefault="00721F3D">
            <w:r w:rsidRPr="00721F3D">
              <w:t>Rename to "Channel Center Index Segment 0"</w:t>
            </w:r>
          </w:p>
        </w:tc>
        <w:tc>
          <w:tcPr>
            <w:tcW w:w="2645" w:type="dxa"/>
            <w:hideMark/>
          </w:tcPr>
          <w:p w14:paraId="288BDBE0" w14:textId="77777777" w:rsidR="00721F3D" w:rsidRPr="00721F3D" w:rsidRDefault="00721F3D">
            <w:r w:rsidRPr="00721F3D">
              <w:t>Any objections?  Alternatively, have a NOTE somewhere to say it's an index not a frequency?</w:t>
            </w:r>
          </w:p>
        </w:tc>
      </w:tr>
      <w:tr w:rsidR="00721F3D" w:rsidRPr="00721F3D" w14:paraId="1EB7EA46" w14:textId="77777777" w:rsidTr="00721F3D">
        <w:trPr>
          <w:trHeight w:val="1785"/>
        </w:trPr>
        <w:tc>
          <w:tcPr>
            <w:tcW w:w="656" w:type="dxa"/>
            <w:hideMark/>
          </w:tcPr>
          <w:p w14:paraId="57246640" w14:textId="77777777" w:rsidR="00721F3D" w:rsidRPr="00721F3D" w:rsidRDefault="00721F3D" w:rsidP="00721F3D">
            <w:r w:rsidRPr="00721F3D">
              <w:lastRenderedPageBreak/>
              <w:t>2247</w:t>
            </w:r>
          </w:p>
        </w:tc>
        <w:tc>
          <w:tcPr>
            <w:tcW w:w="931" w:type="dxa"/>
            <w:hideMark/>
          </w:tcPr>
          <w:p w14:paraId="2A738E00" w14:textId="77777777" w:rsidR="00721F3D" w:rsidRPr="00721F3D" w:rsidRDefault="00721F3D" w:rsidP="00721F3D">
            <w:r w:rsidRPr="00721F3D">
              <w:t>4334.00</w:t>
            </w:r>
          </w:p>
        </w:tc>
        <w:tc>
          <w:tcPr>
            <w:tcW w:w="644" w:type="dxa"/>
            <w:hideMark/>
          </w:tcPr>
          <w:p w14:paraId="2E1B6D4B" w14:textId="77777777" w:rsidR="00721F3D" w:rsidRPr="00721F3D" w:rsidRDefault="00721F3D">
            <w:r w:rsidRPr="00721F3D">
              <w:t>12</w:t>
            </w:r>
          </w:p>
        </w:tc>
        <w:tc>
          <w:tcPr>
            <w:tcW w:w="852" w:type="dxa"/>
            <w:hideMark/>
          </w:tcPr>
          <w:p w14:paraId="6D3CA12C" w14:textId="77777777" w:rsidR="00721F3D" w:rsidRPr="00721F3D" w:rsidRDefault="00721F3D">
            <w:r w:rsidRPr="00721F3D">
              <w:t>27.3.4</w:t>
            </w:r>
          </w:p>
        </w:tc>
        <w:tc>
          <w:tcPr>
            <w:tcW w:w="3321" w:type="dxa"/>
            <w:hideMark/>
          </w:tcPr>
          <w:p w14:paraId="4A000766" w14:textId="77777777" w:rsidR="00721F3D" w:rsidRPr="00721F3D" w:rsidRDefault="00721F3D">
            <w:r w:rsidRPr="00721F3D">
              <w:t>In the legend for the figure there is no distinction between Rus that require 40MHz pre-HE modulated transmission, and Rus that require 80MHz pre-HE modulated transmissions</w:t>
            </w:r>
          </w:p>
        </w:tc>
        <w:tc>
          <w:tcPr>
            <w:tcW w:w="3939" w:type="dxa"/>
            <w:hideMark/>
          </w:tcPr>
          <w:p w14:paraId="7E28BBFA" w14:textId="77777777" w:rsidR="00721F3D" w:rsidRPr="00721F3D" w:rsidRDefault="00721F3D">
            <w:r w:rsidRPr="00721F3D">
              <w:t>Preferably use the dotted format used within the figure itself for the legend</w:t>
            </w:r>
          </w:p>
        </w:tc>
        <w:tc>
          <w:tcPr>
            <w:tcW w:w="2645" w:type="dxa"/>
            <w:hideMark/>
          </w:tcPr>
          <w:p w14:paraId="7BC0638C" w14:textId="77777777" w:rsidR="00721F3D" w:rsidRPr="00721F3D" w:rsidRDefault="00721F3D">
            <w:r w:rsidRPr="00721F3D">
              <w:t>Any objections?</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r w:rsidRPr="00721F3D">
              <w:t>Any objections?</w:t>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r w:rsidRPr="00721F3D">
              <w:t>Any objections?</w:t>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AEAD ciphers should be tagged as an extra column in Table 12-11 and then just xreffed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Add an extra column to Table 12-11 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r w:rsidRPr="00721F3D">
              <w:t>Any objections?</w:t>
            </w:r>
          </w:p>
        </w:tc>
      </w:tr>
      <w:tr w:rsidR="009D03B2" w:rsidRPr="00031718" w14:paraId="63B813E5" w14:textId="77777777" w:rsidTr="009D03B2">
        <w:trPr>
          <w:trHeight w:val="1800"/>
        </w:trPr>
        <w:tc>
          <w:tcPr>
            <w:tcW w:w="663" w:type="dxa"/>
            <w:shd w:val="clear" w:color="auto" w:fill="auto"/>
            <w:tcMar>
              <w:top w:w="15" w:type="dxa"/>
              <w:left w:w="15" w:type="dxa"/>
              <w:bottom w:w="0" w:type="dxa"/>
              <w:right w:w="15" w:type="dxa"/>
            </w:tcMar>
            <w:hideMark/>
          </w:tcPr>
          <w:p w14:paraId="2B288AFF" w14:textId="77777777" w:rsidR="00031718" w:rsidRPr="00031718" w:rsidRDefault="00031718" w:rsidP="00031718">
            <w:r w:rsidRPr="00031718">
              <w:t>1994</w:t>
            </w:r>
          </w:p>
        </w:tc>
        <w:tc>
          <w:tcPr>
            <w:tcW w:w="924" w:type="dxa"/>
            <w:shd w:val="clear" w:color="auto" w:fill="auto"/>
            <w:tcMar>
              <w:top w:w="15" w:type="dxa"/>
              <w:left w:w="15" w:type="dxa"/>
              <w:bottom w:w="0" w:type="dxa"/>
              <w:right w:w="15" w:type="dxa"/>
            </w:tcMar>
            <w:hideMark/>
          </w:tcPr>
          <w:p w14:paraId="4D691255"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2F11B79" w14:textId="77777777" w:rsidR="00031718" w:rsidRPr="00031718" w:rsidRDefault="00031718"/>
        </w:tc>
        <w:tc>
          <w:tcPr>
            <w:tcW w:w="850" w:type="dxa"/>
            <w:shd w:val="clear" w:color="auto" w:fill="auto"/>
            <w:tcMar>
              <w:top w:w="15" w:type="dxa"/>
              <w:left w:w="15" w:type="dxa"/>
              <w:bottom w:w="0" w:type="dxa"/>
              <w:right w:w="15" w:type="dxa"/>
            </w:tcMar>
            <w:hideMark/>
          </w:tcPr>
          <w:p w14:paraId="06B7CD92" w14:textId="77777777" w:rsidR="00031718" w:rsidRPr="00031718" w:rsidRDefault="00031718"/>
        </w:tc>
        <w:tc>
          <w:tcPr>
            <w:tcW w:w="3317" w:type="dxa"/>
            <w:shd w:val="clear" w:color="auto" w:fill="auto"/>
            <w:tcMar>
              <w:top w:w="15" w:type="dxa"/>
              <w:left w:w="15" w:type="dxa"/>
              <w:bottom w:w="0" w:type="dxa"/>
              <w:right w:w="15" w:type="dxa"/>
            </w:tcMar>
            <w:hideMark/>
          </w:tcPr>
          <w:p w14:paraId="545620FF" w14:textId="77777777" w:rsidR="00031718" w:rsidRPr="00031718" w:rsidRDefault="00031718">
            <w:r w:rsidRPr="00031718">
              <w:t>There is no difference between a "TDLS direct link" and a "TDLS link", and an IBSS or MBSS link is just as direct as a TDLS link (which appears ~20x)</w:t>
            </w:r>
          </w:p>
        </w:tc>
        <w:tc>
          <w:tcPr>
            <w:tcW w:w="5074" w:type="dxa"/>
            <w:shd w:val="clear" w:color="auto" w:fill="auto"/>
            <w:tcMar>
              <w:top w:w="15" w:type="dxa"/>
              <w:left w:w="15" w:type="dxa"/>
              <w:bottom w:w="0" w:type="dxa"/>
              <w:right w:w="15" w:type="dxa"/>
            </w:tcMar>
            <w:hideMark/>
          </w:tcPr>
          <w:p w14:paraId="073CB101" w14:textId="77777777" w:rsidR="00031718" w:rsidRPr="00031718" w:rsidRDefault="00031718">
            <w:r w:rsidRPr="00031718">
              <w:t>Change "TDLS direct link" to "TDLS link" (I can provide locations)</w:t>
            </w:r>
          </w:p>
        </w:tc>
        <w:tc>
          <w:tcPr>
            <w:tcW w:w="1786" w:type="dxa"/>
            <w:shd w:val="clear" w:color="auto" w:fill="auto"/>
            <w:tcMar>
              <w:top w:w="15" w:type="dxa"/>
              <w:left w:w="15" w:type="dxa"/>
              <w:bottom w:w="0" w:type="dxa"/>
              <w:right w:w="15" w:type="dxa"/>
            </w:tcMar>
            <w:hideMark/>
          </w:tcPr>
          <w:p w14:paraId="3E5F2916" w14:textId="1157D5CD" w:rsidR="00031718" w:rsidRPr="00031718" w:rsidRDefault="009D03B2">
            <w:r w:rsidRPr="00721F3D">
              <w:t>Any objections?</w:t>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r w:rsidRPr="00721F3D">
              <w:t>Any objections?</w:t>
            </w:r>
          </w:p>
        </w:tc>
      </w:tr>
      <w:tr w:rsidR="009D03B2" w:rsidRPr="00031718" w14:paraId="69A2E9DD" w14:textId="77777777" w:rsidTr="009D03B2">
        <w:trPr>
          <w:trHeight w:val="2100"/>
        </w:trPr>
        <w:tc>
          <w:tcPr>
            <w:tcW w:w="663" w:type="dxa"/>
            <w:shd w:val="clear" w:color="auto" w:fill="auto"/>
            <w:tcMar>
              <w:top w:w="15" w:type="dxa"/>
              <w:left w:w="15" w:type="dxa"/>
              <w:bottom w:w="0" w:type="dxa"/>
              <w:right w:w="15" w:type="dxa"/>
            </w:tcMar>
            <w:hideMark/>
          </w:tcPr>
          <w:p w14:paraId="213BB87E" w14:textId="77777777" w:rsidR="00031718" w:rsidRPr="00031718" w:rsidRDefault="00031718" w:rsidP="00031718">
            <w:r w:rsidRPr="00031718">
              <w:t>2066</w:t>
            </w:r>
          </w:p>
        </w:tc>
        <w:tc>
          <w:tcPr>
            <w:tcW w:w="924" w:type="dxa"/>
            <w:shd w:val="clear" w:color="auto" w:fill="auto"/>
            <w:tcMar>
              <w:top w:w="15" w:type="dxa"/>
              <w:left w:w="15" w:type="dxa"/>
              <w:bottom w:w="0" w:type="dxa"/>
              <w:right w:w="15" w:type="dxa"/>
            </w:tcMar>
            <w:hideMark/>
          </w:tcPr>
          <w:p w14:paraId="0B2187A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05CD467" w14:textId="77777777" w:rsidR="00031718" w:rsidRPr="00031718" w:rsidRDefault="00031718"/>
        </w:tc>
        <w:tc>
          <w:tcPr>
            <w:tcW w:w="850" w:type="dxa"/>
            <w:shd w:val="clear" w:color="auto" w:fill="auto"/>
            <w:tcMar>
              <w:top w:w="15" w:type="dxa"/>
              <w:left w:w="15" w:type="dxa"/>
              <w:bottom w:w="0" w:type="dxa"/>
              <w:right w:w="15" w:type="dxa"/>
            </w:tcMar>
            <w:hideMark/>
          </w:tcPr>
          <w:p w14:paraId="244D2DA4" w14:textId="77777777" w:rsidR="00031718" w:rsidRPr="00031718" w:rsidRDefault="00031718"/>
        </w:tc>
        <w:tc>
          <w:tcPr>
            <w:tcW w:w="3317" w:type="dxa"/>
            <w:shd w:val="clear" w:color="auto" w:fill="auto"/>
            <w:tcMar>
              <w:top w:w="15" w:type="dxa"/>
              <w:left w:w="15" w:type="dxa"/>
              <w:bottom w:w="0" w:type="dxa"/>
              <w:right w:w="15" w:type="dxa"/>
            </w:tcMar>
            <w:hideMark/>
          </w:tcPr>
          <w:p w14:paraId="3FDCA539" w14:textId="77777777" w:rsidR="00031718" w:rsidRPr="00031718" w:rsidRDefault="00031718">
            <w:r w:rsidRPr="00031718">
              <w:t>We don't have a "broadcast destination address"; the term is "broadcast address" (and we don't have a broadcast source address either)</w:t>
            </w:r>
          </w:p>
        </w:tc>
        <w:tc>
          <w:tcPr>
            <w:tcW w:w="5074" w:type="dxa"/>
            <w:shd w:val="clear" w:color="auto" w:fill="auto"/>
            <w:tcMar>
              <w:top w:w="15" w:type="dxa"/>
              <w:left w:w="15" w:type="dxa"/>
              <w:bottom w:w="0" w:type="dxa"/>
              <w:right w:w="15" w:type="dxa"/>
            </w:tcMar>
            <w:hideMark/>
          </w:tcPr>
          <w:p w14:paraId="0EBB61D6" w14:textId="77777777" w:rsidR="00031718" w:rsidRPr="00031718" w:rsidRDefault="00031718">
            <w:r w:rsidRPr="00031718">
              <w:t>Change "broadcast destination address" to "broadcast address" throughout (I can provide locations) and in the instance at 2817.64 delete the " (DA)" too</w:t>
            </w:r>
          </w:p>
        </w:tc>
        <w:tc>
          <w:tcPr>
            <w:tcW w:w="1786" w:type="dxa"/>
            <w:shd w:val="clear" w:color="auto" w:fill="auto"/>
            <w:tcMar>
              <w:top w:w="15" w:type="dxa"/>
              <w:left w:w="15" w:type="dxa"/>
              <w:bottom w:w="0" w:type="dxa"/>
              <w:right w:w="15" w:type="dxa"/>
            </w:tcMar>
            <w:hideMark/>
          </w:tcPr>
          <w:p w14:paraId="45A51852" w14:textId="1E2DF8E6" w:rsidR="00031718" w:rsidRPr="00031718" w:rsidRDefault="009D03B2">
            <w:r w:rsidRPr="00721F3D">
              <w:t>Any objections?</w:t>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lastRenderedPageBreak/>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r w:rsidRPr="00721F3D">
              <w:t>Any objections?</w:t>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r w:rsidRPr="00721F3D">
              <w:t>Any objections?</w:t>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r w:rsidRPr="00721F3D">
              <w:t>Any objections?</w:t>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r w:rsidRPr="00721F3D">
              <w:t>Any objections?</w:t>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r w:rsidRPr="00721F3D">
              <w:t>Any objections?</w:t>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"always"es and "never"s (I can provide locations)</w:t>
            </w:r>
          </w:p>
        </w:tc>
        <w:tc>
          <w:tcPr>
            <w:tcW w:w="4179" w:type="dxa"/>
          </w:tcPr>
          <w:p w14:paraId="1D59AA54" w14:textId="3CC43DB5" w:rsidR="00293C82" w:rsidRPr="00293C82" w:rsidRDefault="00293C82" w:rsidP="00293C82">
            <w:pPr>
              <w:rPr>
                <w:color w:val="000000"/>
                <w:szCs w:val="22"/>
              </w:rPr>
            </w:pPr>
            <w:r w:rsidRPr="00293C82">
              <w:rPr>
                <w:color w:val="000000"/>
                <w:szCs w:val="22"/>
              </w:rPr>
              <w:t xml:space="preserve">Does the group agree with the direction?  Examples: "The timestamp </w:t>
            </w:r>
            <w:r w:rsidRPr="00293C82">
              <w:rPr>
                <w:color w:val="000000"/>
                <w:szCs w:val="22"/>
              </w:rPr>
              <w:br/>
              <w:t xml:space="preserve">indicated by SectorRevertTimestamp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t>SectorSwitchTimestamp.", "the recipient</w:t>
            </w:r>
            <w:r w:rsidRPr="00293C82">
              <w:rPr>
                <w:color w:val="000000"/>
                <w:szCs w:val="22"/>
              </w:rPr>
              <w:br/>
              <w:t>shall always pass MSDUs or A-MSDUs up to the next MAC process"</w:t>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 xml:space="preserve">Clause 3 should refer to elements/fields/etc. by their name, not the expansion of (any part of) their names.  E.g. HT Control, QoS Control field, Management MIC element, RDG/More PPDU subfield, EOF subfield, FILS </w:t>
            </w:r>
            <w:r w:rsidRPr="00293C82">
              <w:rPr>
                <w:color w:val="000000"/>
                <w:szCs w:val="22"/>
              </w:rPr>
              <w:lastRenderedPageBreak/>
              <w:t>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lastRenderedPageBreak/>
              <w:t>Refer to elements/fields/etc. in Subclauses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1F164C10" w14:textId="02B327C6" w:rsidR="00293C82" w:rsidRPr="00293C82" w:rsidRDefault="00293C82" w:rsidP="00293C82">
            <w:pPr>
              <w:rPr>
                <w:color w:val="000000"/>
                <w:szCs w:val="22"/>
              </w:rPr>
            </w:pPr>
            <w:r w:rsidRPr="00293C82">
              <w:rPr>
                <w:color w:val="000000"/>
                <w:szCs w:val="22"/>
              </w:rPr>
              <w:t>Does the group agree with the direction?  Examples: "estimates of throughput for MSDUs sent</w:t>
            </w:r>
            <w:r w:rsidRPr="00293C82">
              <w:rPr>
                <w:color w:val="000000"/>
                <w:szCs w:val="22"/>
              </w:rPr>
              <w:br/>
              <w:t>between the STA which corresponds to the PeerMACAddress indicated", "a frame from a peer STA which is not on the same primary channel"</w:t>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r w:rsidRPr="00293C82">
              <w:rPr>
                <w:color w:val="000000"/>
                <w:szCs w:val="22"/>
              </w:rPr>
              <w:t xml:space="preserve">Does the group agree with the direction?  Examples: "Initial backoff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Rename to Slice().  I can provide a list of locations</w:t>
            </w:r>
          </w:p>
        </w:tc>
        <w:tc>
          <w:tcPr>
            <w:tcW w:w="4179" w:type="dxa"/>
          </w:tcPr>
          <w:p w14:paraId="7480C545" w14:textId="2EE42588"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"ChannelCenterFrequencyIndex" to "ChannelCenterNumber" throughout, except in  "dot11CurrentChannelCenterFrequencyIndex"</w:t>
            </w:r>
          </w:p>
        </w:tc>
        <w:tc>
          <w:tcPr>
            <w:tcW w:w="4179" w:type="dxa"/>
          </w:tcPr>
          <w:p w14:paraId="6E8EB63E" w14:textId="01808DFA"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"groupcast"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Change to "group addressed" or "group addressing" when not in the context of GCR.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 xml:space="preserve">AP Configuration </w:t>
            </w:r>
            <w:r w:rsidRPr="00293C82">
              <w:rPr>
                <w:color w:val="000000"/>
                <w:szCs w:val="22"/>
              </w:rPr>
              <w:lastRenderedPageBreak/>
              <w:t>Sequence Number (AP-CSN) element</w:t>
            </w:r>
            <w:r w:rsidRPr="00293C82">
              <w:rPr>
                <w:color w:val="000000"/>
                <w:szCs w:val="22"/>
              </w:rPr>
              <w:br/>
              <w:t>Subchannel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6B74660D" w14:textId="39E83183"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If the Management MIC element is to be referred to as MME, then put (MME) at the end of the Clause 9 subclause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0C4B37BB" w14:textId="1BC04A61"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r w:rsidRPr="00293C82">
              <w:rPr>
                <w:color w:val="000000"/>
                <w:szCs w:val="22"/>
              </w:rPr>
              <w:t>Does the group agree with the direction?  I think the comment should have been referring to PV1 not PV0</w:t>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2-03-09T09:43:00Z" w:initials="mgr">
    <w:p w14:paraId="1CE515C3" w14:textId="44262C26" w:rsidR="00400A83" w:rsidRDefault="00400A83">
      <w:pPr>
        <w:pStyle w:val="CommentText"/>
      </w:pPr>
      <w:r>
        <w:rPr>
          <w:rStyle w:val="CommentReference"/>
        </w:rPr>
        <w:annotationRef/>
      </w:r>
      <w:r>
        <w:t>See 255.40</w:t>
      </w:r>
    </w:p>
  </w:comment>
  <w:comment w:id="1" w:author="Mark Rison" w:date="2022-03-09T09:43:00Z" w:initials="mgr">
    <w:p w14:paraId="68050B45" w14:textId="77777777" w:rsidR="00400A83" w:rsidRDefault="00400A83" w:rsidP="00F03E8E">
      <w:pPr>
        <w:pStyle w:val="CommentText"/>
      </w:pPr>
      <w:r>
        <w:rPr>
          <w:rStyle w:val="CommentReference"/>
        </w:rPr>
        <w:annotationRef/>
      </w:r>
      <w:r>
        <w:t>See 255.40</w:t>
      </w:r>
    </w:p>
  </w:comment>
  <w:comment w:id="2" w:author="Mark Rison" w:date="2022-03-09T11:09:00Z" w:initials="mgr">
    <w:p w14:paraId="56953171" w14:textId="06F3E741" w:rsidR="00400A83" w:rsidRDefault="00400A83">
      <w:pPr>
        <w:pStyle w:val="CommentText"/>
      </w:pPr>
      <w:r>
        <w:rPr>
          <w:rStyle w:val="CommentReference"/>
        </w:rPr>
        <w:annotationRef/>
      </w:r>
      <w:r>
        <w:t>Hm, but DMG (C20), CDMG (C24) and CMMG (C25) don’t include a FORMAT parameter (S1G and WUR do, at least).  Do we need to append “, and not transmitted by a C20, C24 or C25 PHY”?  Or to avoid spec rot, reframe in terms of waveforms defined in Clauses 15-18?</w:t>
      </w:r>
    </w:p>
  </w:comment>
  <w:comment w:id="3" w:author="Mark Rison" w:date="2022-07-12T12:30:00Z" w:initials="mgr">
    <w:p w14:paraId="56E7EB35" w14:textId="521DDF4F" w:rsidR="00400A83" w:rsidRDefault="00400A83">
      <w:pPr>
        <w:pStyle w:val="CommentText"/>
      </w:pPr>
      <w:r>
        <w:rPr>
          <w:rStyle w:val="CommentReference"/>
        </w:rPr>
        <w:annotationRef/>
      </w:r>
      <w:r>
        <w:t>Do we want to add “NOTE—The means by which this is achieved is outside the scope of the standard.” to all the 11r assumptions?</w:t>
      </w:r>
    </w:p>
  </w:comment>
  <w:comment w:id="4" w:author="Mark Rison" w:date="2022-07-13T17:18:00Z" w:initials="mgr">
    <w:p w14:paraId="4CDDFBAC" w14:textId="65EFF6B2" w:rsidR="008E2DA2" w:rsidRDefault="008E2DA2">
      <w:pPr>
        <w:pStyle w:val="CommentText"/>
      </w:pPr>
      <w:r>
        <w:rPr>
          <w:rStyle w:val="CommentReference"/>
        </w:rPr>
        <w:annotationRef/>
      </w:r>
      <w:r>
        <w:t>D2.0 whether assumption necessary</w:t>
      </w:r>
    </w:p>
  </w:comment>
  <w:comment w:id="5" w:author="Mark Rison" w:date="2022-07-13T17:20:00Z" w:initials="mgr">
    <w:p w14:paraId="6C0D423A" w14:textId="10CB2416" w:rsidR="000B509A" w:rsidRDefault="000B509A">
      <w:pPr>
        <w:pStyle w:val="CommentText"/>
      </w:pPr>
      <w:r>
        <w:rPr>
          <w:rStyle w:val="CommentReference"/>
        </w:rPr>
        <w:annotationRef/>
      </w:r>
      <w:r>
        <w:t>D2.0 what assumes actually means</w:t>
      </w:r>
    </w:p>
  </w:comment>
  <w:comment w:id="6" w:author="Mark Rison" w:date="2022-07-13T17:29:00Z" w:initials="mgr">
    <w:p w14:paraId="5B7E63D6" w14:textId="03C6C92A" w:rsidR="009D3F27" w:rsidRDefault="009D3F27">
      <w:pPr>
        <w:pStyle w:val="CommentText"/>
      </w:pPr>
      <w:r>
        <w:rPr>
          <w:rStyle w:val="CommentReference"/>
        </w:rPr>
        <w:annotationRef/>
      </w:r>
      <w:r>
        <w:t>D2.0 see 12.2.5</w:t>
      </w:r>
    </w:p>
  </w:comment>
  <w:comment w:id="8" w:author="Mark Rison" w:date="2022-03-21T15:00:00Z" w:initials="mgr">
    <w:p w14:paraId="4B11D246" w14:textId="5861DB6B" w:rsidR="00400A83" w:rsidRDefault="00400A83">
      <w:pPr>
        <w:pStyle w:val="CommentText"/>
      </w:pPr>
      <w:r>
        <w:rPr>
          <w:rStyle w:val="CommentReference"/>
        </w:rPr>
        <w:annotationRef/>
      </w:r>
      <w:r>
        <w:t>Youhan will take the comment</w:t>
      </w:r>
    </w:p>
  </w:comment>
  <w:comment w:id="9" w:author="Mark Rison" w:date="2022-03-21T15:02:00Z" w:initials="mgr">
    <w:p w14:paraId="2E061C33" w14:textId="6FCDB548" w:rsidR="00400A83" w:rsidRDefault="00400A83">
      <w:pPr>
        <w:pStyle w:val="CommentText"/>
      </w:pPr>
      <w:r>
        <w:t xml:space="preserve">Mark to </w:t>
      </w:r>
      <w:r>
        <w:rPr>
          <w:rStyle w:val="CommentReference"/>
        </w:rPr>
        <w:annotationRef/>
      </w:r>
      <w:r>
        <w:t>reassign to GEN; Jon will then send message to WG reflector</w:t>
      </w:r>
    </w:p>
  </w:comment>
  <w:comment w:id="10" w:author="Mark Rison" w:date="2022-03-21T15:06:00Z" w:initials="mgr">
    <w:p w14:paraId="1EF4C3EA" w14:textId="56BF15C3" w:rsidR="00400A83" w:rsidRDefault="00400A83">
      <w:pPr>
        <w:pStyle w:val="CommentText"/>
      </w:pPr>
      <w:r>
        <w:rPr>
          <w:rStyle w:val="CommentReference"/>
        </w:rPr>
        <w:annotationRef/>
      </w:r>
      <w:r>
        <w:t>identify locations; at least one might be guidance to entities above 802.11</w:t>
      </w:r>
    </w:p>
  </w:comment>
  <w:comment w:id="11" w:author="Mark Rison" w:date="2022-03-21T15:08:00Z" w:initials="mgr">
    <w:p w14:paraId="10305F56" w14:textId="41EC667D" w:rsidR="00400A83" w:rsidRDefault="00400A83">
      <w:pPr>
        <w:pStyle w:val="CommentText"/>
      </w:pPr>
      <w:r>
        <w:rPr>
          <w:rStyle w:val="CommentReference"/>
        </w:rPr>
        <w:annotationRef/>
      </w:r>
      <w:r>
        <w:t>have redline to show them each</w:t>
      </w:r>
    </w:p>
  </w:comment>
  <w:comment w:id="12" w:author="Mark Rison" w:date="2022-03-21T15:09:00Z" w:initials="mgr">
    <w:p w14:paraId="7E1F1E28" w14:textId="648772E8" w:rsidR="00400A83" w:rsidRDefault="00400A83">
      <w:pPr>
        <w:pStyle w:val="CommentText"/>
      </w:pPr>
      <w:r>
        <w:rPr>
          <w:rStyle w:val="CommentReference"/>
        </w:rPr>
        <w:annotationRef/>
      </w:r>
      <w:r>
        <w:t>Mark to check with Assaf.  Is this a feature or a bug?</w:t>
      </w:r>
    </w:p>
  </w:comment>
  <w:comment w:id="13" w:author="Mark Rison" w:date="2022-03-21T15:12:00Z" w:initials="mgr">
    <w:p w14:paraId="349C7C67" w14:textId="2D5127DF" w:rsidR="00400A83" w:rsidRDefault="00400A83">
      <w:pPr>
        <w:pStyle w:val="CommentText"/>
      </w:pPr>
      <w:r>
        <w:rPr>
          <w:rStyle w:val="CommentReference"/>
        </w:rPr>
        <w:annotationRef/>
      </w:r>
      <w:r>
        <w:t>What if TBTTs are not known, only beacon interval?  But no objection to rejecting</w:t>
      </w:r>
    </w:p>
  </w:comment>
  <w:comment w:id="14" w:author="Mark Rison" w:date="2022-03-21T15:19:00Z" w:initials="mgr">
    <w:p w14:paraId="2CF6F7BB" w14:textId="153F3677" w:rsidR="00400A83" w:rsidRDefault="00400A83">
      <w:pPr>
        <w:pStyle w:val="CommentText"/>
      </w:pPr>
      <w:r>
        <w:rPr>
          <w:rStyle w:val="CommentReference"/>
        </w:rPr>
        <w:annotationRef/>
      </w:r>
      <w:r>
        <w:t>Maybe not if in Action frame, i.e. in table with order?  I.e. only do for fields in elements?  No objection to the latter</w:t>
      </w:r>
    </w:p>
  </w:comment>
  <w:comment w:id="15" w:author="Mark Rison" w:date="2022-03-21T15:22:00Z" w:initials="mgr">
    <w:p w14:paraId="224A8236" w14:textId="1DAF2C85" w:rsidR="00400A83" w:rsidRDefault="00400A83">
      <w:pPr>
        <w:pStyle w:val="CommentText"/>
      </w:pPr>
      <w:r>
        <w:rPr>
          <w:rStyle w:val="CommentReference"/>
        </w:rPr>
        <w:annotationRef/>
      </w:r>
      <w:r>
        <w:t>Mark work with Jouni to identify locations where “temporal” or “transient” is misused, e.g. 14.5.4.  Also look at comment 1567.  Mark move to SEC</w:t>
      </w:r>
    </w:p>
  </w:comment>
  <w:comment w:id="16" w:author="Mark Rison" w:date="2022-03-21T15:28:00Z" w:initials="mgr">
    <w:p w14:paraId="03B96311" w14:textId="29B564A0" w:rsidR="00400A83" w:rsidRDefault="00400A83" w:rsidP="00EA203B">
      <w:pPr>
        <w:pStyle w:val="CommentText"/>
      </w:pPr>
      <w:r>
        <w:rPr>
          <w:rStyle w:val="CommentReference"/>
        </w:rPr>
        <w:annotationRef/>
      </w:r>
      <w:r>
        <w:t>Don’t want to break existing devices (but which have a non-zero air propagation time?). Ask BrianH about deprecating coverage classes.  MarkH also consider “aSIFSTime is fixed, and aSlotTime can change dynamically as aAirPropagationTime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15C3" w15:done="0"/>
  <w15:commentEx w15:paraId="68050B45" w15:done="0"/>
  <w15:commentEx w15:paraId="56953171" w15:done="0"/>
  <w15:commentEx w15:paraId="56E7EB35" w15:done="0"/>
  <w15:commentEx w15:paraId="4CDDFBAC" w15:done="0"/>
  <w15:commentEx w15:paraId="6C0D423A" w15:done="0"/>
  <w15:commentEx w15:paraId="5B7E63D6"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2F265" w14:textId="77777777" w:rsidR="00BA6250" w:rsidRDefault="00BA6250">
      <w:r>
        <w:separator/>
      </w:r>
    </w:p>
  </w:endnote>
  <w:endnote w:type="continuationSeparator" w:id="0">
    <w:p w14:paraId="7849A1FB" w14:textId="77777777" w:rsidR="00BA6250" w:rsidRDefault="00BA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217B9529" w:rsidR="00400A83" w:rsidRDefault="00400A8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D62C0">
      <w:rPr>
        <w:noProof/>
      </w:rPr>
      <w:t>30</w:t>
    </w:r>
    <w:r>
      <w:rPr>
        <w:noProof/>
      </w:rPr>
      <w:fldChar w:fldCharType="end"/>
    </w:r>
    <w:r>
      <w:tab/>
    </w:r>
    <w:fldSimple w:instr=" COMMENTS  \* MERGEFORMAT ">
      <w:r>
        <w:t>Mark RISON (Samsung)</w:t>
      </w:r>
    </w:fldSimple>
  </w:p>
  <w:p w14:paraId="38435E49" w14:textId="77777777" w:rsidR="00400A83" w:rsidRDefault="00400A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D511D" w14:textId="77777777" w:rsidR="00BA6250" w:rsidRDefault="00BA6250">
      <w:r>
        <w:separator/>
      </w:r>
    </w:p>
  </w:footnote>
  <w:footnote w:type="continuationSeparator" w:id="0">
    <w:p w14:paraId="02E1BB6E" w14:textId="77777777" w:rsidR="00BA6250" w:rsidRDefault="00BA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BA4D269" w:rsidR="00400A83" w:rsidRDefault="00400A83">
    <w:pPr>
      <w:pStyle w:val="Header"/>
      <w:tabs>
        <w:tab w:val="clear" w:pos="6480"/>
        <w:tab w:val="center" w:pos="4680"/>
        <w:tab w:val="right" w:pos="9360"/>
      </w:tabs>
    </w:pPr>
    <w:fldSimple w:instr=" KEYWORDS  \* MERGEFORMAT ">
      <w:r>
        <w:t>July 2022</w:t>
      </w:r>
    </w:fldSimple>
    <w:r>
      <w:tab/>
    </w:r>
    <w:r>
      <w:tab/>
    </w:r>
    <w:fldSimple w:instr=" TITLE  \* MERGEFORMAT ">
      <w:r>
        <w:t>doc.: IEEE 802.11-22/0353r4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2C3"/>
    <w:rsid w:val="00020CCC"/>
    <w:rsid w:val="00020D5F"/>
    <w:rsid w:val="000210D9"/>
    <w:rsid w:val="000213AE"/>
    <w:rsid w:val="000213FE"/>
    <w:rsid w:val="000214D1"/>
    <w:rsid w:val="00021E5D"/>
    <w:rsid w:val="00022C73"/>
    <w:rsid w:val="00022CE2"/>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1718"/>
    <w:rsid w:val="000321F5"/>
    <w:rsid w:val="00032C91"/>
    <w:rsid w:val="00032D79"/>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C7E"/>
    <w:rsid w:val="00057CAE"/>
    <w:rsid w:val="000604D2"/>
    <w:rsid w:val="00061229"/>
    <w:rsid w:val="000614B2"/>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A9C"/>
    <w:rsid w:val="000B4C4B"/>
    <w:rsid w:val="000B509A"/>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4DD"/>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6DC"/>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819"/>
    <w:rsid w:val="002249D0"/>
    <w:rsid w:val="00225199"/>
    <w:rsid w:val="002252B8"/>
    <w:rsid w:val="00225B08"/>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910"/>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AAB"/>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67E64"/>
    <w:rsid w:val="0027037B"/>
    <w:rsid w:val="0027046F"/>
    <w:rsid w:val="002705AF"/>
    <w:rsid w:val="00270E61"/>
    <w:rsid w:val="00270FC0"/>
    <w:rsid w:val="00270FED"/>
    <w:rsid w:val="00271051"/>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55C"/>
    <w:rsid w:val="00291AA7"/>
    <w:rsid w:val="002923E0"/>
    <w:rsid w:val="0029241F"/>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90B"/>
    <w:rsid w:val="002A778A"/>
    <w:rsid w:val="002B01FC"/>
    <w:rsid w:val="002B0320"/>
    <w:rsid w:val="002B065D"/>
    <w:rsid w:val="002B118B"/>
    <w:rsid w:val="002B167F"/>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D62"/>
    <w:rsid w:val="00320EA2"/>
    <w:rsid w:val="003212AA"/>
    <w:rsid w:val="0032164C"/>
    <w:rsid w:val="00321D9B"/>
    <w:rsid w:val="00321DEE"/>
    <w:rsid w:val="00321E6C"/>
    <w:rsid w:val="00322301"/>
    <w:rsid w:val="003246E7"/>
    <w:rsid w:val="00325207"/>
    <w:rsid w:val="003259C2"/>
    <w:rsid w:val="00325A0E"/>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4EC7"/>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BDC"/>
    <w:rsid w:val="00387E91"/>
    <w:rsid w:val="00387F84"/>
    <w:rsid w:val="00390A50"/>
    <w:rsid w:val="00390C5A"/>
    <w:rsid w:val="00390DE0"/>
    <w:rsid w:val="00390F83"/>
    <w:rsid w:val="00390F9B"/>
    <w:rsid w:val="0039139B"/>
    <w:rsid w:val="00391A8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C19"/>
    <w:rsid w:val="003D2D89"/>
    <w:rsid w:val="003D3011"/>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0A83"/>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0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E3E"/>
    <w:rsid w:val="00560521"/>
    <w:rsid w:val="005606FC"/>
    <w:rsid w:val="00561530"/>
    <w:rsid w:val="005616CD"/>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0FA"/>
    <w:rsid w:val="00582B02"/>
    <w:rsid w:val="005833F1"/>
    <w:rsid w:val="005834C0"/>
    <w:rsid w:val="00583805"/>
    <w:rsid w:val="00583953"/>
    <w:rsid w:val="00583AA3"/>
    <w:rsid w:val="00583C4B"/>
    <w:rsid w:val="00583C76"/>
    <w:rsid w:val="005845A0"/>
    <w:rsid w:val="00584AB6"/>
    <w:rsid w:val="00584E9A"/>
    <w:rsid w:val="0058551D"/>
    <w:rsid w:val="00585A23"/>
    <w:rsid w:val="005864BD"/>
    <w:rsid w:val="005868E7"/>
    <w:rsid w:val="005870F6"/>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2DF"/>
    <w:rsid w:val="005B390B"/>
    <w:rsid w:val="005B3E53"/>
    <w:rsid w:val="005B43C5"/>
    <w:rsid w:val="005B4578"/>
    <w:rsid w:val="005B4BD5"/>
    <w:rsid w:val="005B4CDB"/>
    <w:rsid w:val="005B604E"/>
    <w:rsid w:val="005B63FA"/>
    <w:rsid w:val="005B692E"/>
    <w:rsid w:val="005B6ED7"/>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90D"/>
    <w:rsid w:val="00640E7E"/>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F3"/>
    <w:rsid w:val="00695E5E"/>
    <w:rsid w:val="006960CF"/>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154"/>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1F3D"/>
    <w:rsid w:val="00722282"/>
    <w:rsid w:val="00723451"/>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6F75"/>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220"/>
    <w:rsid w:val="00786B14"/>
    <w:rsid w:val="00786BC9"/>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775"/>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644"/>
    <w:rsid w:val="00810909"/>
    <w:rsid w:val="00810EC3"/>
    <w:rsid w:val="00811716"/>
    <w:rsid w:val="00811C14"/>
    <w:rsid w:val="00811F23"/>
    <w:rsid w:val="00812553"/>
    <w:rsid w:val="008125AE"/>
    <w:rsid w:val="008126C3"/>
    <w:rsid w:val="00812902"/>
    <w:rsid w:val="00812978"/>
    <w:rsid w:val="00812A35"/>
    <w:rsid w:val="00812BB8"/>
    <w:rsid w:val="0081327A"/>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351"/>
    <w:rsid w:val="00850D6C"/>
    <w:rsid w:val="0085106D"/>
    <w:rsid w:val="0085159F"/>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1795"/>
    <w:rsid w:val="0089231F"/>
    <w:rsid w:val="00893238"/>
    <w:rsid w:val="00893619"/>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4C"/>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1ECF"/>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101E"/>
    <w:rsid w:val="00901206"/>
    <w:rsid w:val="00902639"/>
    <w:rsid w:val="009046BB"/>
    <w:rsid w:val="00904BA8"/>
    <w:rsid w:val="00904D38"/>
    <w:rsid w:val="00905917"/>
    <w:rsid w:val="00905938"/>
    <w:rsid w:val="00905DF3"/>
    <w:rsid w:val="009067CE"/>
    <w:rsid w:val="00907ADD"/>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681"/>
    <w:rsid w:val="00936802"/>
    <w:rsid w:val="00936B06"/>
    <w:rsid w:val="00936B94"/>
    <w:rsid w:val="00937222"/>
    <w:rsid w:val="00937402"/>
    <w:rsid w:val="0093793F"/>
    <w:rsid w:val="00937F31"/>
    <w:rsid w:val="0094029A"/>
    <w:rsid w:val="00940C39"/>
    <w:rsid w:val="00940DEE"/>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4FD5"/>
    <w:rsid w:val="009B550B"/>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3B2"/>
    <w:rsid w:val="009D0EBC"/>
    <w:rsid w:val="009D0F52"/>
    <w:rsid w:val="009D18CC"/>
    <w:rsid w:val="009D2227"/>
    <w:rsid w:val="009D28D4"/>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614E"/>
    <w:rsid w:val="009E6222"/>
    <w:rsid w:val="009E62EF"/>
    <w:rsid w:val="009E6AE9"/>
    <w:rsid w:val="009E6D0F"/>
    <w:rsid w:val="009E6D19"/>
    <w:rsid w:val="009E6ECA"/>
    <w:rsid w:val="009E6F95"/>
    <w:rsid w:val="009F088E"/>
    <w:rsid w:val="009F0ACB"/>
    <w:rsid w:val="009F0B43"/>
    <w:rsid w:val="009F0FCE"/>
    <w:rsid w:val="009F170C"/>
    <w:rsid w:val="009F1D48"/>
    <w:rsid w:val="009F212B"/>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2FF3"/>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587E"/>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741"/>
    <w:rsid w:val="00A64916"/>
    <w:rsid w:val="00A64B25"/>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519"/>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4EA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5ED6"/>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644"/>
    <w:rsid w:val="00B7493C"/>
    <w:rsid w:val="00B74B21"/>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250"/>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3C46"/>
    <w:rsid w:val="00C13C99"/>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9D1"/>
    <w:rsid w:val="00C95B95"/>
    <w:rsid w:val="00C961E3"/>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1E1"/>
    <w:rsid w:val="00CD7282"/>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354D"/>
    <w:rsid w:val="00D039EC"/>
    <w:rsid w:val="00D0435D"/>
    <w:rsid w:val="00D04DB9"/>
    <w:rsid w:val="00D051F5"/>
    <w:rsid w:val="00D054DA"/>
    <w:rsid w:val="00D0557D"/>
    <w:rsid w:val="00D05655"/>
    <w:rsid w:val="00D0593B"/>
    <w:rsid w:val="00D05AA0"/>
    <w:rsid w:val="00D05B11"/>
    <w:rsid w:val="00D0616B"/>
    <w:rsid w:val="00D062BB"/>
    <w:rsid w:val="00D06348"/>
    <w:rsid w:val="00D0667B"/>
    <w:rsid w:val="00D06A91"/>
    <w:rsid w:val="00D07873"/>
    <w:rsid w:val="00D101C0"/>
    <w:rsid w:val="00D10B01"/>
    <w:rsid w:val="00D1109D"/>
    <w:rsid w:val="00D1109E"/>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270"/>
    <w:rsid w:val="00D31630"/>
    <w:rsid w:val="00D316E9"/>
    <w:rsid w:val="00D3278F"/>
    <w:rsid w:val="00D33389"/>
    <w:rsid w:val="00D33400"/>
    <w:rsid w:val="00D33E4C"/>
    <w:rsid w:val="00D348CE"/>
    <w:rsid w:val="00D35BBF"/>
    <w:rsid w:val="00D379AA"/>
    <w:rsid w:val="00D37E24"/>
    <w:rsid w:val="00D4017A"/>
    <w:rsid w:val="00D402B7"/>
    <w:rsid w:val="00D40499"/>
    <w:rsid w:val="00D410E9"/>
    <w:rsid w:val="00D4153A"/>
    <w:rsid w:val="00D41DEF"/>
    <w:rsid w:val="00D4202B"/>
    <w:rsid w:val="00D426B4"/>
    <w:rsid w:val="00D42A60"/>
    <w:rsid w:val="00D42ED7"/>
    <w:rsid w:val="00D43A95"/>
    <w:rsid w:val="00D4454E"/>
    <w:rsid w:val="00D445BB"/>
    <w:rsid w:val="00D4472F"/>
    <w:rsid w:val="00D44A7C"/>
    <w:rsid w:val="00D44F60"/>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2C66"/>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5686"/>
    <w:rsid w:val="00DD61F0"/>
    <w:rsid w:val="00DD6802"/>
    <w:rsid w:val="00DD68AC"/>
    <w:rsid w:val="00DD6C0B"/>
    <w:rsid w:val="00DD6F1A"/>
    <w:rsid w:val="00DD743F"/>
    <w:rsid w:val="00DD76CA"/>
    <w:rsid w:val="00DD785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2ED0"/>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916"/>
    <w:rsid w:val="00E55C63"/>
    <w:rsid w:val="00E563FA"/>
    <w:rsid w:val="00E56533"/>
    <w:rsid w:val="00E56839"/>
    <w:rsid w:val="00E56853"/>
    <w:rsid w:val="00E5691C"/>
    <w:rsid w:val="00E56C29"/>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E1F"/>
    <w:rsid w:val="00E96F71"/>
    <w:rsid w:val="00E97532"/>
    <w:rsid w:val="00E97667"/>
    <w:rsid w:val="00E97877"/>
    <w:rsid w:val="00E97C76"/>
    <w:rsid w:val="00EA01B3"/>
    <w:rsid w:val="00EA0212"/>
    <w:rsid w:val="00EA03E3"/>
    <w:rsid w:val="00EA0945"/>
    <w:rsid w:val="00EA1374"/>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7D0"/>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225E"/>
    <w:rsid w:val="00F12947"/>
    <w:rsid w:val="00F1367C"/>
    <w:rsid w:val="00F137D8"/>
    <w:rsid w:val="00F1448A"/>
    <w:rsid w:val="00F14A2D"/>
    <w:rsid w:val="00F15372"/>
    <w:rsid w:val="00F157ED"/>
    <w:rsid w:val="00F165B5"/>
    <w:rsid w:val="00F167DB"/>
    <w:rsid w:val="00F16ADE"/>
    <w:rsid w:val="00F17179"/>
    <w:rsid w:val="00F17A5B"/>
    <w:rsid w:val="00F17F20"/>
    <w:rsid w:val="00F20232"/>
    <w:rsid w:val="00F20240"/>
    <w:rsid w:val="00F203E0"/>
    <w:rsid w:val="00F21973"/>
    <w:rsid w:val="00F22658"/>
    <w:rsid w:val="00F22996"/>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FD2"/>
    <w:rsid w:val="00F33424"/>
    <w:rsid w:val="00F337A0"/>
    <w:rsid w:val="00F341BC"/>
    <w:rsid w:val="00F3496C"/>
    <w:rsid w:val="00F35E74"/>
    <w:rsid w:val="00F362B2"/>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4316"/>
    <w:rsid w:val="00F74323"/>
    <w:rsid w:val="00F75133"/>
    <w:rsid w:val="00F7542D"/>
    <w:rsid w:val="00F75CFE"/>
    <w:rsid w:val="00F75DB2"/>
    <w:rsid w:val="00F75EDA"/>
    <w:rsid w:val="00F761CB"/>
    <w:rsid w:val="00F76464"/>
    <w:rsid w:val="00F765A5"/>
    <w:rsid w:val="00F7665E"/>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A32"/>
    <w:rsid w:val="00FF1B38"/>
    <w:rsid w:val="00FF1BAD"/>
    <w:rsid w:val="00FF1E89"/>
    <w:rsid w:val="00FF1FF8"/>
    <w:rsid w:val="00FF20CD"/>
    <w:rsid w:val="00FF2493"/>
    <w:rsid w:val="00FF2B50"/>
    <w:rsid w:val="00FF2F39"/>
    <w:rsid w:val="00FF305B"/>
    <w:rsid w:val="00FF3237"/>
    <w:rsid w:val="00FF3803"/>
    <w:rsid w:val="00FF387C"/>
    <w:rsid w:val="00FF402E"/>
    <w:rsid w:val="00FF40E4"/>
    <w:rsid w:val="00FF425F"/>
    <w:rsid w:val="00FF45F2"/>
    <w:rsid w:val="00FF53AD"/>
    <w:rsid w:val="00FF58C7"/>
    <w:rsid w:val="00FF5E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B1"/>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13CB8-BA32-476C-93AB-DC492F38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177</TotalTime>
  <Pages>69</Pages>
  <Words>20300</Words>
  <Characters>108609</Characters>
  <Application>Microsoft Office Word</Application>
  <DocSecurity>0</DocSecurity>
  <Lines>2310</Lines>
  <Paragraphs>1263</Paragraphs>
  <ScaleCrop>false</ScaleCrop>
  <HeadingPairs>
    <vt:vector size="2" baseType="variant">
      <vt:variant>
        <vt:lpstr>Title</vt:lpstr>
      </vt:variant>
      <vt:variant>
        <vt:i4>1</vt:i4>
      </vt:variant>
    </vt:vector>
  </HeadingPairs>
  <TitlesOfParts>
    <vt:vector size="1" baseType="lpstr">
      <vt:lpstr>doc.: IEEE 802.11-22/0353r4</vt:lpstr>
    </vt:vector>
  </TitlesOfParts>
  <Company>Some Company</Company>
  <LinksUpToDate>false</LinksUpToDate>
  <CharactersWithSpaces>127646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802.11-22/0353r4</dc:title>
  <dc:subject>Submission</dc:subject>
  <dc:creator>Mark RISON</dc:creator>
  <cp:keywords>July 2022</cp:keywords>
  <dc:description/>
  <cp:lastModifiedBy>Mark Rison</cp:lastModifiedBy>
  <cp:revision>17</cp:revision>
  <cp:lastPrinted>2015-09-02T08:05:00Z</cp:lastPrinted>
  <dcterms:created xsi:type="dcterms:W3CDTF">2022-07-13T19:49:00Z</dcterms:created>
  <dcterms:modified xsi:type="dcterms:W3CDTF">2022-07-13T22:45:00Z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