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bookmarkStart w:id="0" w:name="_GoBack"/>
            <w:bookmarkEnd w:id="0"/>
            <w:r w:rsidR="008F70F0">
              <w:t>)</w:t>
            </w:r>
          </w:p>
        </w:tc>
      </w:tr>
      <w:tr w:rsidR="00CA09B2" w14:paraId="35EA2C35" w14:textId="77777777">
        <w:trPr>
          <w:trHeight w:val="359"/>
          <w:jc w:val="center"/>
        </w:trPr>
        <w:tc>
          <w:tcPr>
            <w:tcW w:w="9576" w:type="dxa"/>
            <w:gridSpan w:val="5"/>
            <w:vAlign w:val="center"/>
          </w:tcPr>
          <w:p w14:paraId="4686A163" w14:textId="48ED3FAA"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721F3D">
              <w:rPr>
                <w:b w:val="0"/>
                <w:sz w:val="20"/>
              </w:rPr>
              <w:t>03</w:t>
            </w:r>
            <w:r w:rsidR="00837F71">
              <w:rPr>
                <w:b w:val="0"/>
                <w:sz w:val="20"/>
              </w:rPr>
              <w:t>-</w:t>
            </w:r>
            <w:r w:rsidR="00721F3D">
              <w:rPr>
                <w:b w:val="0"/>
                <w:sz w:val="20"/>
              </w:rPr>
              <w:t>21</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B4196D" w:rsidRDefault="00B4196D">
                            <w:pPr>
                              <w:pStyle w:val="T1"/>
                              <w:spacing w:after="120"/>
                            </w:pPr>
                            <w:r>
                              <w:t>Abstract</w:t>
                            </w:r>
                          </w:p>
                          <w:p w14:paraId="62DD9F26" w14:textId="5BAC12AA" w:rsidR="00B4196D" w:rsidRDefault="00B4196D" w:rsidP="006832AA">
                            <w:pPr>
                              <w:jc w:val="both"/>
                            </w:pPr>
                            <w:r>
                              <w:t>This submission proposes resolut</w:t>
                            </w:r>
                            <w:r w:rsidR="003C00C9">
                              <w:t>ions for various CIDs on 11me/D1</w:t>
                            </w:r>
                            <w:r>
                              <w:t>.0.  Green indicates material agreed to in the group, yellow material to be discussed, red material rejected by the group and cyan material not to be overlooked.  The “Final” view should be selected in Word (this means Word comments can be disregarded by the Editor).</w:t>
                            </w:r>
                          </w:p>
                          <w:p w14:paraId="6B2F5E87" w14:textId="77777777" w:rsidR="00B4196D" w:rsidRDefault="00B419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B4196D" w:rsidRDefault="00B4196D">
                      <w:pPr>
                        <w:pStyle w:val="T1"/>
                        <w:spacing w:after="120"/>
                      </w:pPr>
                      <w:r>
                        <w:t>Abstract</w:t>
                      </w:r>
                    </w:p>
                    <w:p w14:paraId="62DD9F26" w14:textId="5BAC12AA" w:rsidR="00B4196D" w:rsidRDefault="00B4196D" w:rsidP="006832AA">
                      <w:pPr>
                        <w:jc w:val="both"/>
                      </w:pPr>
                      <w:r>
                        <w:t>This submission proposes resolut</w:t>
                      </w:r>
                      <w:r w:rsidR="003C00C9">
                        <w:t>ions for various CIDs on 11me/D1</w:t>
                      </w:r>
                      <w:r>
                        <w:t>.0.  Green indicates material agreed to in the group, yellow material to be discussed, red material rejected by the group and cyan material not to be overlooked.  The “Final” view should be selected in Word (this means Word comments can be disregarded by the Editor).</w:t>
                      </w:r>
                    </w:p>
                    <w:p w14:paraId="6B2F5E87" w14:textId="77777777" w:rsidR="00B4196D" w:rsidRDefault="00B4196D">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83"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384"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F97EE5">
        <w:tc>
          <w:tcPr>
            <w:tcW w:w="1809"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83"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384"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77777777"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Pr="006A5833">
        <w:rPr>
          <w:u w:val="single"/>
        </w:rPr>
        <w:t>status code in</w:t>
      </w:r>
      <w:r w:rsidRPr="006A5833">
        <w:t xml:space="preserve"> t</w:t>
      </w:r>
      <w:r>
        <w:t>he Authentication frame</w:t>
      </w:r>
      <w:r w:rsidRPr="006A5833">
        <w:rPr>
          <w:strike/>
        </w:rPr>
        <w:t>.</w:t>
      </w:r>
      <w:r w:rsidRPr="006A5833">
        <w:rPr>
          <w:u w:val="single"/>
        </w:rPr>
        <w:t>:</w:t>
      </w:r>
    </w:p>
    <w:p w14:paraId="38A3C5D6" w14:textId="334F6539" w:rsidR="006A5833" w:rsidRDefault="006A5833" w:rsidP="00267E64">
      <w:pPr>
        <w:pStyle w:val="ListParagraph"/>
        <w:numPr>
          <w:ilvl w:val="0"/>
          <w:numId w:val="1"/>
        </w:numPr>
      </w:pPr>
      <w:r>
        <w:t xml:space="preserve">If the </w:t>
      </w:r>
      <w:r w:rsidRPr="006A5833">
        <w:rPr>
          <w:strike/>
        </w:rPr>
        <w:t>S</w:t>
      </w:r>
      <w:r w:rsidRPr="006A5833">
        <w:rPr>
          <w:u w:val="single"/>
        </w:rPr>
        <w:t>s</w:t>
      </w:r>
      <w:r w:rsidRPr="006A5833">
        <w:t xml:space="preserve">tatus code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7E10A02F" w:rsidR="006A5833" w:rsidRDefault="006A5833" w:rsidP="00267E64">
      <w:pPr>
        <w:pStyle w:val="ListParagraph"/>
        <w:numPr>
          <w:ilvl w:val="1"/>
          <w:numId w:val="1"/>
        </w:numPr>
      </w:pPr>
      <w:commentRangeStart w:id="1"/>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w:t>
      </w:r>
      <w:commentRangeStart w:id="2"/>
      <w:r w:rsidRPr="006A5833">
        <w:t>an Authentication frame</w:t>
      </w:r>
      <w:commentRangeEnd w:id="2"/>
      <w:r w:rsidR="00AF5ED6">
        <w:rPr>
          <w:rStyle w:val="CommentReference"/>
        </w:rPr>
        <w:commentReference w:id="2"/>
      </w:r>
      <w:r w:rsidRPr="006A5833">
        <w:t xml:space="preserve"> with </w:t>
      </w:r>
      <w:r w:rsidRPr="006A5833">
        <w:rPr>
          <w:strike/>
        </w:rPr>
        <w:t>S</w:t>
      </w:r>
      <w:r w:rsidRPr="006A5833">
        <w:rPr>
          <w:u w:val="single"/>
        </w:rPr>
        <w:t>s</w:t>
      </w:r>
      <w:r w:rsidRPr="006A5833">
        <w:t xml:space="preserve">tatus </w:t>
      </w:r>
      <w:r w:rsidRPr="006A5833">
        <w:rPr>
          <w:strike/>
        </w:rPr>
        <w:t>C</w:t>
      </w:r>
      <w:r w:rsidRPr="006A5833">
        <w:rPr>
          <w:u w:val="single"/>
        </w:rPr>
        <w:t>c</w:t>
      </w:r>
      <w:r w:rsidRPr="006A5833">
        <w:t>ode</w:t>
      </w:r>
      <w:r w:rsidRPr="006A5833">
        <w:rPr>
          <w:strike/>
        </w:rPr>
        <w:t xml:space="preserve"> set to</w:t>
      </w:r>
      <w:r>
        <w:t xml:space="preserve"> UNKNOWN_PASSWORD_IDENTIFIER.</w:t>
      </w:r>
      <w:commentRangeEnd w:id="1"/>
      <w:r w:rsidR="00CB1AB4">
        <w:rPr>
          <w:rStyle w:val="CommentReference"/>
        </w:rPr>
        <w:commentReference w:id="1"/>
      </w:r>
    </w:p>
    <w:p w14:paraId="03FED5BD" w14:textId="09F757F5" w:rsidR="006A5833" w:rsidRDefault="006A5833" w:rsidP="00267E64">
      <w:pPr>
        <w:pStyle w:val="ListParagraph"/>
        <w:numPr>
          <w:ilvl w:val="1"/>
          <w:numId w:val="1"/>
        </w:numPr>
      </w:pPr>
      <w:commentRangeStart w:id="3"/>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commentRangeEnd w:id="3"/>
      <w:r w:rsidR="00005A10" w:rsidRPr="00005A10">
        <w:rPr>
          <w:u w:val="single"/>
        </w:rPr>
        <w:t>Otherwise</w:t>
      </w:r>
      <w:r>
        <w:rPr>
          <w:rStyle w:val="CommentReference"/>
        </w:rPr>
        <w:commentReference w:id="3"/>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0050851A"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Pr="006A5833">
        <w:rPr>
          <w:strike/>
        </w:rPr>
        <w:t>S</w:t>
      </w:r>
      <w:r w:rsidRPr="006A5833">
        <w:rPr>
          <w:u w:val="single"/>
        </w:rPr>
        <w:t>s</w:t>
      </w:r>
      <w:r w:rsidRPr="006A5833">
        <w:t>tatus code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46B7CABA"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 xml:space="preserve">finite cyclic groups that have been rejected by a peer </w:t>
      </w:r>
      <w:commentRangeStart w:id="4"/>
      <w:r>
        <w:t>in a previous authentication attempt</w:t>
      </w:r>
      <w:commentRangeEnd w:id="4"/>
      <w:r w:rsidR="00344EC7">
        <w:rPr>
          <w:rStyle w:val="CommentReference"/>
        </w:rPr>
        <w:commentReference w:id="4"/>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653DFF" w:rsidR="009A6936" w:rsidRDefault="009A6936" w:rsidP="009A6936">
      <w:pPr>
        <w:ind w:left="720"/>
      </w:pPr>
      <w:r>
        <w:t xml:space="preserve">If the SAE Commit message is in response to an Anti-Clogging Token field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5785FF5D"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w:t>
      </w:r>
      <w:commentRangeStart w:id="5"/>
      <w:r w:rsidRPr="009A6936">
        <w:rPr>
          <w:u w:val="single"/>
          <w:lang w:val="en-US"/>
        </w:rPr>
        <w:t>SAE session</w:t>
      </w:r>
      <w:commentRangeEnd w:id="5"/>
      <w:r>
        <w:rPr>
          <w:rStyle w:val="CommentReference"/>
        </w:rPr>
        <w:commentReference w:id="5"/>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w:t>
      </w:r>
      <w:r>
        <w:lastRenderedPageBreak/>
        <w:t xml:space="preserve">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01BAE736" w14:textId="77777777"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xml:space="preserve">— Group addressed </w:t>
      </w:r>
      <w:commentRangeStart w:id="6"/>
      <w:r>
        <w:t xml:space="preserve">Action frames </w:t>
      </w:r>
      <w:commentRangeEnd w:id="6"/>
      <w:r>
        <w:rPr>
          <w:rStyle w:val="CommentReference"/>
        </w:rPr>
        <w:commentReference w:id="6"/>
      </w:r>
      <w:r>
        <w:t>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xml:space="preserve">— Group addressed robust Management frames that are not </w:t>
      </w:r>
      <w:commentRangeStart w:id="7"/>
      <w:r>
        <w:t>Action</w:t>
      </w:r>
      <w:commentRangeEnd w:id="7"/>
      <w:r>
        <w:rPr>
          <w:rStyle w:val="CommentReference"/>
        </w:rPr>
        <w:commentReference w:id="7"/>
      </w:r>
      <w:r>
        <w:t xml:space="preserve">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 xml:space="preserve">The MME is present when management frame protection is enabled at the AP and the frame is a group addressed robust </w:t>
      </w:r>
      <w:commentRangeStart w:id="8"/>
      <w:r>
        <w:t>Action</w:t>
      </w:r>
      <w:commentRangeEnd w:id="8"/>
      <w:r>
        <w:rPr>
          <w:rStyle w:val="CommentReference"/>
        </w:rPr>
        <w:commentReference w:id="8"/>
      </w:r>
      <w:r>
        <w:t xml:space="preserve">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5558DC">
            <w:r>
              <w:lastRenderedPageBreak/>
              <w:t>Identifiers</w:t>
            </w:r>
          </w:p>
        </w:tc>
        <w:tc>
          <w:tcPr>
            <w:tcW w:w="4383" w:type="dxa"/>
          </w:tcPr>
          <w:p w14:paraId="37F019A3" w14:textId="77777777" w:rsidR="000B2CCB" w:rsidRDefault="000B2CCB" w:rsidP="005558DC">
            <w:r>
              <w:t>Comment</w:t>
            </w:r>
          </w:p>
        </w:tc>
        <w:tc>
          <w:tcPr>
            <w:tcW w:w="3384" w:type="dxa"/>
          </w:tcPr>
          <w:p w14:paraId="11145FBB" w14:textId="77777777" w:rsidR="000B2CCB" w:rsidRDefault="000B2CCB" w:rsidP="005558DC">
            <w:r>
              <w:t>Proposed change</w:t>
            </w:r>
          </w:p>
        </w:tc>
      </w:tr>
      <w:tr w:rsidR="000B2CCB" w:rsidRPr="002C1619" w14:paraId="2C0425CA" w14:textId="77777777" w:rsidTr="000B2CCB">
        <w:tc>
          <w:tcPr>
            <w:tcW w:w="1928" w:type="dxa"/>
          </w:tcPr>
          <w:p w14:paraId="3CA351CF" w14:textId="7A91B631" w:rsidR="000B2CCB" w:rsidRDefault="000B2CCB" w:rsidP="005558DC">
            <w:r>
              <w:t>CID 2297</w:t>
            </w:r>
          </w:p>
          <w:p w14:paraId="4307606D" w14:textId="65DA515C" w:rsidR="000B2CCB" w:rsidRDefault="000B2CCB" w:rsidP="005558DC">
            <w:r>
              <w:t>Stephen McCANN</w:t>
            </w:r>
          </w:p>
          <w:p w14:paraId="03703235" w14:textId="2DB25103" w:rsidR="000B2CCB" w:rsidRDefault="000B2CCB" w:rsidP="005558DC">
            <w:r>
              <w:t>3.2</w:t>
            </w:r>
          </w:p>
          <w:p w14:paraId="60865135" w14:textId="609D7FEA" w:rsidR="000B2CCB" w:rsidRDefault="000B2CCB" w:rsidP="005558DC">
            <w:r>
              <w:t>214.49</w:t>
            </w:r>
          </w:p>
        </w:tc>
        <w:tc>
          <w:tcPr>
            <w:tcW w:w="4383" w:type="dxa"/>
          </w:tcPr>
          <w:p w14:paraId="1BE64462" w14:textId="339D2858" w:rsidR="000B2CCB" w:rsidRPr="002C1619" w:rsidRDefault="000B2CCB" w:rsidP="005558DC">
            <w:r w:rsidRPr="000B2CCB">
              <w:t>The term "high throughput (HT)" does not use a hyphen.</w:t>
            </w:r>
          </w:p>
        </w:tc>
        <w:tc>
          <w:tcPr>
            <w:tcW w:w="3384" w:type="dxa"/>
          </w:tcPr>
          <w:p w14:paraId="6BDA2D2E" w14:textId="2C56BCE5" w:rsidR="000B2CCB" w:rsidRPr="002C1619" w:rsidRDefault="000B2CCB" w:rsidP="005558DC">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9"/>
      <w:r>
        <w:t>“high-t</w:t>
      </w:r>
      <w:r w:rsidRPr="000B2CCB">
        <w:t>hroughput SIGNAL field</w:t>
      </w:r>
      <w:r>
        <w:t>”</w:t>
      </w:r>
      <w:commentRangeEnd w:id="9"/>
      <w:r>
        <w:rPr>
          <w:rStyle w:val="CommentReference"/>
        </w:rPr>
        <w:commentReference w:id="9"/>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10"/>
      <w:r>
        <w:t>“high t</w:t>
      </w:r>
      <w:r w:rsidRPr="000B2CCB">
        <w:t>hroughput SIGNAL field</w:t>
      </w:r>
      <w:r>
        <w:t>”</w:t>
      </w:r>
      <w:commentRangeEnd w:id="10"/>
      <w:r>
        <w:rPr>
          <w:rStyle w:val="CommentReference"/>
        </w:rPr>
        <w:commentReference w:id="10"/>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5558DC">
        <w:tc>
          <w:tcPr>
            <w:tcW w:w="1809" w:type="dxa"/>
          </w:tcPr>
          <w:p w14:paraId="39FC5CD6" w14:textId="77777777" w:rsidR="00A02FF3" w:rsidRDefault="00A02FF3" w:rsidP="005558DC">
            <w:r>
              <w:lastRenderedPageBreak/>
              <w:t>Identifiers</w:t>
            </w:r>
          </w:p>
        </w:tc>
        <w:tc>
          <w:tcPr>
            <w:tcW w:w="4383" w:type="dxa"/>
          </w:tcPr>
          <w:p w14:paraId="21824740" w14:textId="77777777" w:rsidR="00A02FF3" w:rsidRDefault="00A02FF3" w:rsidP="005558DC">
            <w:r>
              <w:t>Comment</w:t>
            </w:r>
          </w:p>
        </w:tc>
        <w:tc>
          <w:tcPr>
            <w:tcW w:w="3384" w:type="dxa"/>
          </w:tcPr>
          <w:p w14:paraId="1DF41CFF" w14:textId="77777777" w:rsidR="00A02FF3" w:rsidRDefault="00A02FF3" w:rsidP="005558DC">
            <w:r>
              <w:t>Proposed change</w:t>
            </w:r>
          </w:p>
        </w:tc>
      </w:tr>
      <w:tr w:rsidR="00A02FF3" w:rsidRPr="002C1619" w14:paraId="399AE135" w14:textId="77777777" w:rsidTr="005558DC">
        <w:tc>
          <w:tcPr>
            <w:tcW w:w="1809" w:type="dxa"/>
          </w:tcPr>
          <w:p w14:paraId="2EF80D4F" w14:textId="7C255040" w:rsidR="00A02FF3" w:rsidRDefault="00A02FF3" w:rsidP="005558DC">
            <w:r>
              <w:t>CID 1948</w:t>
            </w:r>
          </w:p>
          <w:p w14:paraId="7D235BE6" w14:textId="77777777" w:rsidR="00A02FF3" w:rsidRDefault="00A02FF3" w:rsidP="005558DC">
            <w:r>
              <w:t>Mark RISON</w:t>
            </w:r>
          </w:p>
          <w:p w14:paraId="50897C57" w14:textId="19F962C1" w:rsidR="00A02FF3" w:rsidRDefault="00A02FF3" w:rsidP="005558DC">
            <w:r>
              <w:t>3.2</w:t>
            </w:r>
          </w:p>
        </w:tc>
        <w:tc>
          <w:tcPr>
            <w:tcW w:w="4383" w:type="dxa"/>
          </w:tcPr>
          <w:p w14:paraId="45740420" w14:textId="4997C662" w:rsidR="00A02FF3" w:rsidRPr="002C1619" w:rsidRDefault="00A02FF3" w:rsidP="005558DC">
            <w:r w:rsidRPr="00A02FF3">
              <w:t>"non-HE PPDU" is not defined.  Does it include S1G PPDUs, for example?</w:t>
            </w:r>
          </w:p>
        </w:tc>
        <w:tc>
          <w:tcPr>
            <w:tcW w:w="3384" w:type="dxa"/>
          </w:tcPr>
          <w:p w14:paraId="0ECF1665" w14:textId="1E4DD59F" w:rsidR="00A02FF3" w:rsidRPr="002C1619" w:rsidRDefault="00A02FF3" w:rsidP="005558DC">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11"/>
      <w:r>
        <w:t>Note that HT and VHT PHYs’ TXVECTOR includes a FORMAT parameter, so the clauses don’t need to be explicitly listed.</w:t>
      </w:r>
      <w:commentRangeEnd w:id="11"/>
      <w:r w:rsidR="00656F43">
        <w:rPr>
          <w:rStyle w:val="CommentReference"/>
        </w:rPr>
        <w:commentReference w:id="11"/>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098532C4"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5558DC">
        <w:tc>
          <w:tcPr>
            <w:tcW w:w="1809" w:type="dxa"/>
          </w:tcPr>
          <w:p w14:paraId="21F16D5B" w14:textId="77777777" w:rsidR="008A7B46" w:rsidRDefault="008A7B46" w:rsidP="005558DC">
            <w:r>
              <w:lastRenderedPageBreak/>
              <w:t>Identifiers</w:t>
            </w:r>
          </w:p>
        </w:tc>
        <w:tc>
          <w:tcPr>
            <w:tcW w:w="4383" w:type="dxa"/>
          </w:tcPr>
          <w:p w14:paraId="45FCF6CD" w14:textId="77777777" w:rsidR="008A7B46" w:rsidRDefault="008A7B46" w:rsidP="005558DC">
            <w:r>
              <w:t>Comment</w:t>
            </w:r>
          </w:p>
        </w:tc>
        <w:tc>
          <w:tcPr>
            <w:tcW w:w="3384" w:type="dxa"/>
          </w:tcPr>
          <w:p w14:paraId="1494FFE6" w14:textId="77777777" w:rsidR="008A7B46" w:rsidRDefault="008A7B46" w:rsidP="005558DC">
            <w:r>
              <w:t>Proposed change</w:t>
            </w:r>
          </w:p>
        </w:tc>
      </w:tr>
      <w:tr w:rsidR="008A7B46" w:rsidRPr="002C1619" w14:paraId="7512D3B6" w14:textId="77777777" w:rsidTr="005558DC">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5558DC">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5558DC">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5558DC">
            <w:r>
              <w:t>12.7.2</w:t>
            </w:r>
          </w:p>
          <w:p w14:paraId="173C9FF8" w14:textId="6A8E103C" w:rsidR="008A7B46" w:rsidRDefault="008A7B46" w:rsidP="005558DC">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5558DC">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5558DC">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5558DC">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5558DC">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5558DC">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5558DC">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5558DC">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5558DC">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17B198A3" w14:textId="77777777" w:rsidR="00DC5EF0" w:rsidRDefault="00DC5EF0" w:rsidP="00DC5EF0">
      <w:pPr>
        <w:pStyle w:val="ListParagraph"/>
      </w:pPr>
    </w:p>
    <w:p w14:paraId="5BCFDA2A" w14:textId="607301D6" w:rsidR="00EA5EC8" w:rsidRDefault="00EA5EC8" w:rsidP="008A7B46">
      <w:r>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42312E5E" w:rsidR="008A7B46" w:rsidRDefault="008A7B46" w:rsidP="008A7B46">
      <w:r>
        <w:t xml:space="preserve">Related comments not addressed here: CIDs </w:t>
      </w:r>
      <w:r w:rsidR="008F6DB0">
        <w:t>1844/1845,</w:t>
      </w:r>
      <w:r>
        <w:t xml:space="preserve"> 1942, 1944.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107B3308" w14:textId="635DB044" w:rsidR="00EA5EC8" w:rsidRDefault="00EA5EC8" w:rsidP="008A7B46">
      <w:r w:rsidRPr="00EA5EC8">
        <w:rPr>
          <w:highlight w:val="yellow"/>
        </w:rPr>
        <w:t>Alternative 1a:</w:t>
      </w:r>
    </w:p>
    <w:p w14:paraId="484F7175" w14:textId="7928B02B" w:rsidR="008F6DB0" w:rsidRDefault="00DC5EF0" w:rsidP="00DC5EF0">
      <w:pPr>
        <w:ind w:left="720"/>
      </w:pPr>
      <w:r>
        <w:t xml:space="preserve">If </w:t>
      </w:r>
      <w:r w:rsidR="00845C37">
        <w:rPr>
          <w:u w:val="single"/>
        </w:rPr>
        <w:t xml:space="preserve">the Authenticator receives </w:t>
      </w:r>
      <w:r>
        <w:t xml:space="preserve">an EAPOL-Key frame in which the Request bit is 1 </w:t>
      </w:r>
      <w:r w:rsidRPr="00845C37">
        <w:rPr>
          <w:strike/>
        </w:rPr>
        <w:t>has</w:t>
      </w:r>
      <w:r w:rsidR="00845C37">
        <w:rPr>
          <w:u w:val="single"/>
        </w:rPr>
        <w:t>with</w:t>
      </w:r>
      <w:r>
        <w:t xml:space="preserve"> a key type of Pairwise</w:t>
      </w:r>
      <w:r w:rsidR="0074368E">
        <w:rPr>
          <w:u w:val="single"/>
        </w:rPr>
        <w:t xml:space="preserve"> and the Authenticator is not currently performing a 4-way handshake with the Supplicant</w:t>
      </w:r>
      <w:r>
        <w:t xml:space="preserve">, the Authenticator </w:t>
      </w:r>
      <w:r w:rsidRPr="00DC5EF0">
        <w:rPr>
          <w:strike/>
        </w:rPr>
        <w:t xml:space="preserve">shall </w:t>
      </w:r>
      <w:r w:rsidRPr="00DC5EF0">
        <w:rPr>
          <w:u w:val="single"/>
        </w:rPr>
        <w:t xml:space="preserve">should </w:t>
      </w:r>
      <w:r>
        <w:rPr>
          <w:u w:val="single"/>
        </w:rPr>
        <w:t xml:space="preserve">perform PTK rekeying by </w:t>
      </w:r>
      <w:r>
        <w:t>initiat</w:t>
      </w:r>
      <w:r w:rsidRPr="00DC5EF0">
        <w:rPr>
          <w:u w:val="single"/>
        </w:rPr>
        <w:t>ing</w:t>
      </w:r>
      <w:r w:rsidRPr="00DC5EF0">
        <w:rPr>
          <w:strike/>
        </w:rPr>
        <w:t>e</w:t>
      </w:r>
      <w:r>
        <w:t xml:space="preserve"> a 4-way handshake</w:t>
      </w:r>
      <w:r w:rsidR="008F6DB0">
        <w:rPr>
          <w:u w:val="single"/>
        </w:rPr>
        <w:t xml:space="preserve"> with the Supplicant</w:t>
      </w:r>
      <w:r w:rsidR="008F6DB0">
        <w:t>.</w:t>
      </w:r>
    </w:p>
    <w:p w14:paraId="09EE8179" w14:textId="39C3A9FE" w:rsidR="00907ADD" w:rsidRPr="0061703B" w:rsidRDefault="00907ADD" w:rsidP="00907ADD">
      <w:pPr>
        <w:ind w:left="720"/>
        <w:rPr>
          <w:u w:val="single"/>
        </w:rPr>
      </w:pPr>
      <w:r>
        <w:rPr>
          <w:u w:val="single"/>
        </w:rPr>
        <w:t>NOTE</w:t>
      </w:r>
      <w:r w:rsidR="007E5A20">
        <w:rPr>
          <w:u w:val="single"/>
        </w:rPr>
        <w:t xml:space="preserve"> 1</w:t>
      </w:r>
      <w:r>
        <w:rPr>
          <w:u w:val="single"/>
        </w:rPr>
        <w:t>—The Authenticator might ignore the request</w:t>
      </w:r>
      <w:r w:rsidR="00B94CCC">
        <w:rPr>
          <w:u w:val="single"/>
        </w:rPr>
        <w:t xml:space="preserve"> if</w:t>
      </w:r>
      <w:r>
        <w:rPr>
          <w:u w:val="single"/>
        </w:rPr>
        <w:t>, for example, it has recently performed a 4-way handshake with the Supplicant.</w:t>
      </w:r>
    </w:p>
    <w:p w14:paraId="7A3993B5" w14:textId="33797F86" w:rsidR="008F6DB0" w:rsidRPr="008F6DB0" w:rsidRDefault="008F6DB0" w:rsidP="00DC5EF0">
      <w:pPr>
        <w:ind w:left="720"/>
        <w:rPr>
          <w:u w:val="single"/>
        </w:rPr>
      </w:pPr>
      <w:r w:rsidRPr="008F6DB0">
        <w:rPr>
          <w:u w:val="single"/>
        </w:rPr>
        <w:t>NOTE</w:t>
      </w:r>
      <w:r w:rsidR="007E5A20">
        <w:rPr>
          <w:u w:val="single"/>
        </w:rPr>
        <w:t xml:space="preserve"> 2</w:t>
      </w:r>
      <w:r w:rsidRPr="008F6DB0">
        <w:rPr>
          <w:u w:val="single"/>
        </w:rPr>
        <w:t xml:space="preserve">—The GTK is not changed in response to an EAPOL-Key request frame </w:t>
      </w:r>
      <w:r w:rsidR="00391A8B">
        <w:rPr>
          <w:u w:val="single"/>
        </w:rPr>
        <w:t>with</w:t>
      </w:r>
      <w:r w:rsidRPr="008F6DB0">
        <w:rPr>
          <w:u w:val="single"/>
        </w:rPr>
        <w:t xml:space="preserve"> a key type of Pairwise.</w:t>
      </w:r>
      <w:r>
        <w:rPr>
          <w:u w:val="single"/>
        </w:rPr>
        <w:t xml:space="preserve"> </w:t>
      </w:r>
      <w:r w:rsidRPr="008F6DB0">
        <w:rPr>
          <w:b/>
          <w:i/>
          <w:u w:val="single"/>
        </w:rPr>
        <w:t>&lt;insert para break&gt;</w:t>
      </w:r>
    </w:p>
    <w:p w14:paraId="64896739" w14:textId="4981EBA6" w:rsidR="008F6DB0" w:rsidRDefault="008F6DB0" w:rsidP="00EA5EC8"/>
    <w:p w14:paraId="154718D4" w14:textId="2AC62D60" w:rsidR="00EA5EC8" w:rsidRDefault="00EA5EC8" w:rsidP="00EA5EC8">
      <w:r>
        <w:rPr>
          <w:highlight w:val="yellow"/>
        </w:rPr>
        <w:t>Alternative 1b</w:t>
      </w:r>
      <w:r w:rsidRPr="00EA5EC8">
        <w:rPr>
          <w:highlight w:val="yellow"/>
        </w:rPr>
        <w:t>:</w:t>
      </w:r>
    </w:p>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178DC8E0" w14:textId="4A474B0B" w:rsidR="00EA5EC8" w:rsidRDefault="00EA5EC8" w:rsidP="00EA5EC8">
      <w:r>
        <w:rPr>
          <w:highlight w:val="yellow"/>
        </w:rPr>
        <w:t>Alternative 2</w:t>
      </w:r>
      <w:r w:rsidRPr="00EA5EC8">
        <w:rPr>
          <w:highlight w:val="yellow"/>
        </w:rPr>
        <w:t>a:</w:t>
      </w:r>
    </w:p>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 xml:space="preserve">perform GTK rekeying </w:t>
      </w:r>
      <w:commentRangeStart w:id="12"/>
      <w:r>
        <w:rPr>
          <w:u w:val="single"/>
        </w:rPr>
        <w:t>as follows:</w:t>
      </w:r>
    </w:p>
    <w:p w14:paraId="73B6F606" w14:textId="77777777" w:rsidR="0061703B" w:rsidRDefault="00DC5EF0" w:rsidP="00267E64">
      <w:pPr>
        <w:pStyle w:val="ListParagraph"/>
        <w:numPr>
          <w:ilvl w:val="0"/>
          <w:numId w:val="3"/>
        </w:numPr>
      </w:pPr>
      <w:r w:rsidRPr="0061703B">
        <w:rPr>
          <w:strike/>
        </w:rPr>
        <w:lastRenderedPageBreak/>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commentRangeEnd w:id="12"/>
      <w:r w:rsidR="0012359D">
        <w:rPr>
          <w:rStyle w:val="CommentReference"/>
        </w:rPr>
        <w:commentReference w:id="12"/>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7AFFA5DE" w14:textId="68F7C058" w:rsidR="00EA5EC8" w:rsidRDefault="00EA5EC8" w:rsidP="00EA5EC8">
      <w:r>
        <w:rPr>
          <w:highlight w:val="yellow"/>
        </w:rPr>
        <w:t>Alternative 2b</w:t>
      </w:r>
      <w:r w:rsidRPr="00EA5EC8">
        <w:rPr>
          <w:highlight w:val="yellow"/>
        </w:rPr>
        <w:t>:</w:t>
      </w:r>
    </w:p>
    <w:p w14:paraId="3C8B237E" w14:textId="77777777" w:rsidR="00EA5EC8" w:rsidRDefault="00EA5EC8" w:rsidP="00EA5EC8">
      <w:pPr>
        <w:ind w:left="720"/>
        <w:rPr>
          <w:u w:val="single"/>
        </w:rPr>
      </w:pPr>
      <w:r>
        <w:t xml:space="preserve">If </w:t>
      </w:r>
      <w:r>
        <w:rPr>
          <w:u w:val="single"/>
        </w:rPr>
        <w:t xml:space="preserve">the Authenticator receives </w:t>
      </w:r>
      <w:r w:rsidRPr="00907ADD">
        <w:rPr>
          <w:strike/>
        </w:rPr>
        <w:t>the</w:t>
      </w:r>
      <w:r>
        <w:rPr>
          <w:u w:val="single"/>
        </w:rPr>
        <w:t>an</w:t>
      </w:r>
      <w:r>
        <w:t xml:space="preserve"> EAPOL-Key frame in which the Request bit is 1 </w:t>
      </w:r>
      <w:r w:rsidRPr="00845C37">
        <w:rPr>
          <w:strike/>
        </w:rPr>
        <w:t>has</w:t>
      </w:r>
      <w:r>
        <w:rPr>
          <w:u w:val="single"/>
        </w:rPr>
        <w:t>with</w:t>
      </w:r>
      <w:r>
        <w:t xml:space="preserve"> a key type of Group</w:t>
      </w:r>
      <w:r>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 xml:space="preserve">perform GTK rekeying </w:t>
      </w:r>
      <w:commentRangeStart w:id="13"/>
      <w:r>
        <w:rPr>
          <w:u w:val="single"/>
        </w:rPr>
        <w:t>as follows:</w:t>
      </w:r>
    </w:p>
    <w:p w14:paraId="40DD7DB4" w14:textId="77777777" w:rsidR="00EA5EC8" w:rsidRDefault="00EA5EC8" w:rsidP="00EA5EC8">
      <w:pPr>
        <w:pStyle w:val="ListParagraph"/>
        <w:numPr>
          <w:ilvl w:val="0"/>
          <w:numId w:val="3"/>
        </w:numPr>
      </w:pPr>
      <w:r w:rsidRPr="0061703B">
        <w:rPr>
          <w:strike/>
        </w:rPr>
        <w:t xml:space="preserve">change the </w:t>
      </w:r>
      <w:r w:rsidRPr="0061703B">
        <w:rPr>
          <w:u w:val="single"/>
        </w:rPr>
        <w:t xml:space="preserve">generate a new </w:t>
      </w:r>
      <w:r>
        <w:t>GTK</w:t>
      </w:r>
      <w:r w:rsidRPr="0061703B">
        <w:rPr>
          <w:u w:val="single"/>
        </w:rPr>
        <w:t xml:space="preserve"> with a new key ID (</w:t>
      </w:r>
      <w:r w:rsidRPr="008A7B46">
        <w:t>see 12.7.10 (RSNA Authenticator key management state machine))</w:t>
      </w:r>
      <w:r w:rsidRPr="0061703B">
        <w:rPr>
          <w:strike/>
        </w:rPr>
        <w:t>, initiate a 4-way handshake with the Supplicant, and then</w:t>
      </w:r>
    </w:p>
    <w:p w14:paraId="0C2C2F92" w14:textId="4C7B9F82" w:rsidR="00EA5EC8" w:rsidRPr="0061703B" w:rsidRDefault="00EA5EC8" w:rsidP="00EA5EC8">
      <w:pPr>
        <w:pStyle w:val="ListParagraph"/>
        <w:numPr>
          <w:ilvl w:val="0"/>
          <w:numId w:val="3"/>
        </w:numPr>
        <w:rPr>
          <w:u w:val="single"/>
        </w:rPr>
      </w:pPr>
      <w:r w:rsidRPr="0074368E">
        <w:rPr>
          <w:strike/>
        </w:rPr>
        <w:t>execute</w:t>
      </w:r>
      <w:r>
        <w:rPr>
          <w:u w:val="single"/>
        </w:rPr>
        <w:t>initiate</w:t>
      </w:r>
      <w:r>
        <w:t xml:space="preserve"> </w:t>
      </w:r>
      <w:r w:rsidRPr="0074368E">
        <w:rPr>
          <w:strike/>
        </w:rPr>
        <w:t>the</w:t>
      </w:r>
      <w:r>
        <w:rPr>
          <w:u w:val="single"/>
        </w:rPr>
        <w:t>a</w:t>
      </w:r>
      <w:r>
        <w:t xml:space="preserve"> group key handshake </w:t>
      </w:r>
      <w:r w:rsidRPr="0061703B">
        <w:rPr>
          <w:strike/>
        </w:rPr>
        <w:t>to</w:t>
      </w:r>
      <w:r w:rsidRPr="0061703B">
        <w:rPr>
          <w:u w:val="single"/>
        </w:rPr>
        <w:t>with</w:t>
      </w:r>
      <w:r>
        <w:t xml:space="preserve"> </w:t>
      </w:r>
      <w:r w:rsidRPr="0012359D">
        <w:rPr>
          <w:strike/>
        </w:rPr>
        <w:t>all</w:t>
      </w:r>
      <w:r>
        <w:rPr>
          <w:u w:val="single"/>
        </w:rPr>
        <w:t>each</w:t>
      </w:r>
      <w:r>
        <w:t xml:space="preserve"> Supplicant</w:t>
      </w:r>
      <w:r w:rsidRPr="0012359D">
        <w:rPr>
          <w:strike/>
        </w:rPr>
        <w:t>s</w:t>
      </w:r>
      <w:r w:rsidRPr="0061703B">
        <w:rPr>
          <w:u w:val="single"/>
        </w:rPr>
        <w:t xml:space="preserve"> that </w:t>
      </w:r>
      <w:r>
        <w:rPr>
          <w:u w:val="single"/>
        </w:rPr>
        <w:t>is</w:t>
      </w:r>
      <w:r w:rsidRPr="0061703B">
        <w:rPr>
          <w:u w:val="single"/>
        </w:rPr>
        <w:t xml:space="preserve"> not in WNM sleep mode</w:t>
      </w:r>
      <w:r>
        <w:rPr>
          <w:u w:val="single"/>
        </w:rPr>
        <w:t xml:space="preserve">, </w:t>
      </w:r>
      <w:r w:rsidRPr="0061703B">
        <w:rPr>
          <w:u w:val="single"/>
        </w:rPr>
        <w:t xml:space="preserve">except a Supplicant </w:t>
      </w:r>
      <w:r>
        <w:rPr>
          <w:u w:val="single"/>
        </w:rPr>
        <w:t>with</w:t>
      </w:r>
      <w:r w:rsidRPr="0061703B">
        <w:rPr>
          <w:u w:val="single"/>
        </w:rPr>
        <w:t xml:space="preserve"> which it is currently performing </w:t>
      </w:r>
      <w:r>
        <w:rPr>
          <w:u w:val="single"/>
        </w:rPr>
        <w:t>a 4-way handshake</w:t>
      </w:r>
      <w:r w:rsidRPr="0061703B">
        <w:rPr>
          <w:u w:val="single"/>
        </w:rPr>
        <w:t xml:space="preserve">, in which case </w:t>
      </w:r>
      <w:r>
        <w:rPr>
          <w:u w:val="single"/>
        </w:rPr>
        <w:t>it shall initiate</w:t>
      </w:r>
      <w:r w:rsidRPr="0061703B">
        <w:rPr>
          <w:u w:val="single"/>
        </w:rPr>
        <w:t xml:space="preserve"> the group key handshake after the end of the 4-way handshake</w:t>
      </w:r>
      <w:r w:rsidRPr="0061703B">
        <w:rPr>
          <w:strike/>
        </w:rPr>
        <w:t>.</w:t>
      </w:r>
      <w:commentRangeEnd w:id="13"/>
      <w:r>
        <w:rPr>
          <w:rStyle w:val="CommentReference"/>
        </w:rPr>
        <w:commentReference w:id="13"/>
      </w:r>
    </w:p>
    <w:p w14:paraId="1629AAF7" w14:textId="4B474DB1" w:rsidR="00EA5EC8" w:rsidRPr="0061703B" w:rsidRDefault="00EA5EC8" w:rsidP="00EA5EC8">
      <w:pPr>
        <w:ind w:left="720"/>
        <w:rPr>
          <w:u w:val="single"/>
        </w:rPr>
      </w:pPr>
      <w:r>
        <w:rPr>
          <w:u w:val="single"/>
        </w:rPr>
        <w:t xml:space="preserve">NOTE 3—The Authenticator might ignore the request if, for example, it has recently performed GTK rekeying (whether on request from the </w:t>
      </w:r>
      <w:r w:rsidR="00A25B1A">
        <w:rPr>
          <w:u w:val="single"/>
        </w:rPr>
        <w:t xml:space="preserve">same </w:t>
      </w:r>
      <w:r>
        <w:rPr>
          <w:u w:val="single"/>
        </w:rPr>
        <w:t>Supplicant or otherwise).</w:t>
      </w:r>
    </w:p>
    <w:p w14:paraId="535B9AD8" w14:textId="77777777" w:rsidR="00EA5EC8" w:rsidRDefault="00EA5EC8" w:rsidP="008A7B46">
      <w:pPr>
        <w:rPr>
          <w:u w:val="single"/>
        </w:rPr>
      </w:pPr>
    </w:p>
    <w:p w14:paraId="1C5B7832" w14:textId="50C456D2" w:rsidR="00723451" w:rsidRDefault="00723451" w:rsidP="00723451">
      <w:r>
        <w:rPr>
          <w:highlight w:val="yellow"/>
        </w:rPr>
        <w:t>Alternative 2c</w:t>
      </w:r>
      <w:r w:rsidRPr="00EA5EC8">
        <w:rPr>
          <w:highlight w:val="yellow"/>
        </w:rPr>
        <w:t>:</w:t>
      </w:r>
    </w:p>
    <w:p w14:paraId="7C1EC8E3" w14:textId="77777777" w:rsidR="00723451" w:rsidRDefault="00723451" w:rsidP="00723451">
      <w:pPr>
        <w:ind w:left="720"/>
        <w:rPr>
          <w:u w:val="single"/>
        </w:rPr>
      </w:pPr>
      <w:r>
        <w:t xml:space="preserve">If </w:t>
      </w:r>
      <w:r>
        <w:rPr>
          <w:u w:val="single"/>
        </w:rPr>
        <w:t xml:space="preserve">the Authenticator receives </w:t>
      </w:r>
      <w:r w:rsidRPr="00907ADD">
        <w:rPr>
          <w:strike/>
        </w:rPr>
        <w:t>the</w:t>
      </w:r>
      <w:r>
        <w:rPr>
          <w:u w:val="single"/>
        </w:rPr>
        <w:t>an</w:t>
      </w:r>
      <w:r>
        <w:t xml:space="preserve"> EAPOL-Key frame in which the Request bit is 1 </w:t>
      </w:r>
      <w:r w:rsidRPr="00845C37">
        <w:rPr>
          <w:strike/>
        </w:rPr>
        <w:t>has</w:t>
      </w:r>
      <w:r>
        <w:rPr>
          <w:u w:val="single"/>
        </w:rPr>
        <w:t>with</w:t>
      </w:r>
      <w:r>
        <w:t xml:space="preserve"> a key type of Group</w:t>
      </w:r>
      <w:r>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 xml:space="preserve">perform GTK rekeying </w:t>
      </w:r>
      <w:commentRangeStart w:id="14"/>
      <w:r>
        <w:rPr>
          <w:u w:val="single"/>
        </w:rPr>
        <w:t>as follows:</w:t>
      </w:r>
    </w:p>
    <w:p w14:paraId="440DAB8B" w14:textId="77777777" w:rsidR="00723451" w:rsidRDefault="00723451" w:rsidP="00723451">
      <w:pPr>
        <w:pStyle w:val="ListParagraph"/>
        <w:numPr>
          <w:ilvl w:val="0"/>
          <w:numId w:val="3"/>
        </w:numPr>
      </w:pPr>
      <w:r w:rsidRPr="0061703B">
        <w:rPr>
          <w:strike/>
        </w:rPr>
        <w:t xml:space="preserve">change the </w:t>
      </w:r>
      <w:r w:rsidRPr="0061703B">
        <w:rPr>
          <w:u w:val="single"/>
        </w:rPr>
        <w:t xml:space="preserve">generate a new </w:t>
      </w:r>
      <w:r>
        <w:t>GTK</w:t>
      </w:r>
      <w:r w:rsidRPr="0061703B">
        <w:rPr>
          <w:u w:val="single"/>
        </w:rPr>
        <w:t xml:space="preserve"> with a new key ID (</w:t>
      </w:r>
      <w:r w:rsidRPr="008A7B46">
        <w:t>see 12.7.10 (RSNA Authenticator key management state machine))</w:t>
      </w:r>
      <w:r w:rsidRPr="0061703B">
        <w:rPr>
          <w:strike/>
        </w:rPr>
        <w:t>, initiate a 4-way handshake with the Supplicant, and then</w:t>
      </w:r>
    </w:p>
    <w:p w14:paraId="5B7ACFBB" w14:textId="3F35D2C3" w:rsidR="00723451" w:rsidRPr="0061703B" w:rsidRDefault="00723451" w:rsidP="00723451">
      <w:pPr>
        <w:pStyle w:val="ListParagraph"/>
        <w:numPr>
          <w:ilvl w:val="0"/>
          <w:numId w:val="3"/>
        </w:numPr>
        <w:rPr>
          <w:u w:val="single"/>
        </w:rPr>
      </w:pPr>
      <w:r w:rsidRPr="0074368E">
        <w:rPr>
          <w:strike/>
        </w:rPr>
        <w:t>execute</w:t>
      </w:r>
      <w:r>
        <w:rPr>
          <w:u w:val="single"/>
        </w:rPr>
        <w:t>initiate</w:t>
      </w:r>
      <w:r>
        <w:t xml:space="preserve"> </w:t>
      </w:r>
      <w:r w:rsidRPr="0074368E">
        <w:rPr>
          <w:strike/>
        </w:rPr>
        <w:t>the</w:t>
      </w:r>
      <w:r>
        <w:rPr>
          <w:u w:val="single"/>
        </w:rPr>
        <w:t>a</w:t>
      </w:r>
      <w:r>
        <w:t xml:space="preserve"> group key handshake </w:t>
      </w:r>
      <w:r w:rsidRPr="0061703B">
        <w:rPr>
          <w:strike/>
        </w:rPr>
        <w:t>to</w:t>
      </w:r>
      <w:r w:rsidRPr="0061703B">
        <w:rPr>
          <w:u w:val="single"/>
        </w:rPr>
        <w:t>with</w:t>
      </w:r>
      <w:r>
        <w:t xml:space="preserve"> </w:t>
      </w:r>
      <w:r w:rsidRPr="0012359D">
        <w:rPr>
          <w:strike/>
        </w:rPr>
        <w:t>all</w:t>
      </w:r>
      <w:r>
        <w:rPr>
          <w:u w:val="single"/>
        </w:rPr>
        <w:t>each</w:t>
      </w:r>
      <w:r>
        <w:t xml:space="preserve"> Supplicant</w:t>
      </w:r>
      <w:r w:rsidRPr="0012359D">
        <w:rPr>
          <w:strike/>
        </w:rPr>
        <w:t>s</w:t>
      </w:r>
      <w:r w:rsidRPr="0061703B">
        <w:rPr>
          <w:u w:val="single"/>
        </w:rPr>
        <w:t xml:space="preserve"> that </w:t>
      </w:r>
      <w:r>
        <w:rPr>
          <w:u w:val="single"/>
        </w:rPr>
        <w:t>is</w:t>
      </w:r>
      <w:r w:rsidRPr="0061703B">
        <w:rPr>
          <w:u w:val="single"/>
        </w:rPr>
        <w:t xml:space="preserve"> not in WNM sleep mode</w:t>
      </w:r>
      <w:r w:rsidRPr="0061703B">
        <w:rPr>
          <w:strike/>
        </w:rPr>
        <w:t>.</w:t>
      </w:r>
      <w:commentRangeEnd w:id="14"/>
      <w:r>
        <w:rPr>
          <w:rStyle w:val="CommentReference"/>
        </w:rPr>
        <w:commentReference w:id="14"/>
      </w:r>
    </w:p>
    <w:p w14:paraId="118029C7" w14:textId="77777777" w:rsidR="00723451" w:rsidRPr="0061703B" w:rsidRDefault="00723451" w:rsidP="00723451">
      <w:pPr>
        <w:ind w:left="720"/>
        <w:rPr>
          <w:u w:val="single"/>
        </w:rPr>
      </w:pPr>
      <w:r>
        <w:rPr>
          <w:u w:val="single"/>
        </w:rPr>
        <w:t>NOTE 3—The Authenticator might ignore the request if, for example, it has recently performed GTK rekeying (whether on request from the same Supplicant or otherwise).</w:t>
      </w:r>
    </w:p>
    <w:p w14:paraId="7CCF7FE5" w14:textId="77777777" w:rsidR="00723451" w:rsidRDefault="00723451" w:rsidP="00723451">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4CDC43D6" w14:textId="3CC257DA"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40FE96FE" w14:textId="5F3779A6" w:rsidR="008F6DB0" w:rsidRPr="00723451" w:rsidRDefault="008F6DB0" w:rsidP="008F6DB0">
      <w:pPr>
        <w:ind w:left="720"/>
        <w:rPr>
          <w:b/>
          <w:i/>
        </w:rPr>
      </w:pPr>
      <w:r w:rsidRPr="008F6DB0">
        <w:t>NOTE—The Authenticator might ignore this request.</w:t>
      </w:r>
      <w:r w:rsidR="00723451">
        <w:t xml:space="preserve"> </w:t>
      </w:r>
      <w:r w:rsidR="00723451" w:rsidRPr="00723451">
        <w:rPr>
          <w:b/>
          <w:i/>
          <w:highlight w:val="yellow"/>
        </w:rPr>
        <w:t>[not if we pick Alternative 1b above]</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5EBB0CAB" w:rsidR="00224819" w:rsidRPr="008F6DB0" w:rsidRDefault="00224819" w:rsidP="00224819">
      <w:pPr>
        <w:ind w:left="720"/>
        <w:rPr>
          <w:u w:val="single"/>
        </w:rPr>
      </w:pPr>
      <w:r>
        <w:rPr>
          <w:u w:val="single"/>
        </w:rPr>
        <w:t>NOTE—The Authenticator might ignore this request.</w:t>
      </w:r>
      <w:r w:rsidR="00723451">
        <w:t xml:space="preserve"> </w:t>
      </w:r>
      <w:r w:rsidR="00723451" w:rsidRPr="00723451">
        <w:rPr>
          <w:b/>
          <w:i/>
          <w:highlight w:val="yellow"/>
        </w:rPr>
        <w:t>[</w:t>
      </w:r>
      <w:r w:rsidR="00723451">
        <w:rPr>
          <w:b/>
          <w:i/>
          <w:highlight w:val="yellow"/>
        </w:rPr>
        <w:t>only for GTK rekeying,</w:t>
      </w:r>
      <w:r w:rsidR="00723451" w:rsidRPr="00723451">
        <w:rPr>
          <w:b/>
          <w:i/>
          <w:highlight w:val="yellow"/>
        </w:rPr>
        <w:t xml:space="preserve"> if we pick Alternative 1b above]</w:t>
      </w:r>
    </w:p>
    <w:p w14:paraId="32495900" w14:textId="77777777" w:rsidR="008417A4" w:rsidRDefault="008417A4" w:rsidP="008A7B46"/>
    <w:p w14:paraId="56F1E2C5" w14:textId="059010D0" w:rsidR="00DC5EF0" w:rsidRPr="00DC5EF0" w:rsidRDefault="00DC5EF0" w:rsidP="008A7B46">
      <w:r>
        <w:lastRenderedPageBreak/>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5558DC">
        <w:tc>
          <w:tcPr>
            <w:tcW w:w="1809" w:type="dxa"/>
          </w:tcPr>
          <w:p w14:paraId="35853ECF" w14:textId="77777777" w:rsidR="00B777EC" w:rsidRDefault="00B777EC" w:rsidP="005558DC">
            <w:r>
              <w:lastRenderedPageBreak/>
              <w:t>Identifiers</w:t>
            </w:r>
          </w:p>
        </w:tc>
        <w:tc>
          <w:tcPr>
            <w:tcW w:w="4383" w:type="dxa"/>
          </w:tcPr>
          <w:p w14:paraId="53C74A37" w14:textId="77777777" w:rsidR="00B777EC" w:rsidRDefault="00B777EC" w:rsidP="005558DC">
            <w:r>
              <w:t>Comment</w:t>
            </w:r>
          </w:p>
        </w:tc>
        <w:tc>
          <w:tcPr>
            <w:tcW w:w="3384" w:type="dxa"/>
          </w:tcPr>
          <w:p w14:paraId="1F76F09B" w14:textId="77777777" w:rsidR="00B777EC" w:rsidRDefault="00B777EC" w:rsidP="005558DC">
            <w:r>
              <w:t>Proposed change</w:t>
            </w:r>
          </w:p>
        </w:tc>
      </w:tr>
      <w:tr w:rsidR="00B777EC" w:rsidRPr="002C1619" w14:paraId="20426418" w14:textId="77777777" w:rsidTr="005558DC">
        <w:tc>
          <w:tcPr>
            <w:tcW w:w="1809" w:type="dxa"/>
          </w:tcPr>
          <w:p w14:paraId="6287DC34" w14:textId="1DBDE6FA" w:rsidR="00B777EC" w:rsidRDefault="00B777EC" w:rsidP="005558DC">
            <w:r>
              <w:t>CID 1382</w:t>
            </w:r>
          </w:p>
          <w:p w14:paraId="52F246C1" w14:textId="2A5FD589" w:rsidR="00B777EC" w:rsidRDefault="00B777EC" w:rsidP="005558DC">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5558DC">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1F22D207" w:rsidR="00B777EC" w:rsidRDefault="00B777EC" w:rsidP="00B777EC">
      <w:r>
        <w:t>At the moment, the spec sometimes talks of renewing keys, 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1D31FFAD" w:rsidR="00B777EC" w:rsidRDefault="00B777EC" w:rsidP="00B777EC">
      <w:r>
        <w:t>In a TG discussion in early 2022, it was noted that a key is rekeyed while an SA is renewed (and that the only way to renew an SA is to rekey).</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13775994" w:rsidR="00B777EC" w:rsidRDefault="00B777EC" w:rsidP="00B777EC">
      <w:r>
        <w:t xml:space="preserve">Also, an </w:t>
      </w:r>
      <w:r w:rsidR="0099076C">
        <w:t>“</w:t>
      </w:r>
      <w:r>
        <w:t>RSN SA</w:t>
      </w:r>
      <w:r w:rsidR="0099076C">
        <w:t>”</w:t>
      </w:r>
      <w:r>
        <w:t xml:space="preserve"> is not a defined term.  It’s just an SA.</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87C1E94"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2A726C27"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 xml:space="preserve">RSN </w:t>
      </w:r>
      <w:r w:rsidRPr="00B777EC">
        <w:t>SA</w:t>
      </w:r>
      <w:r>
        <w:rPr>
          <w:u w:val="single"/>
        </w:rPr>
        <w:t xml:space="preserve"> (by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7504D5B6"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4875EF">
        <w:rPr>
          <w:u w:val="single"/>
        </w:rPr>
        <w:t xml:space="preserve"> an SA</w:t>
      </w:r>
      <w:r>
        <w:t xml:space="preserve"> expired and could not be renewed</w:t>
      </w:r>
      <w:r>
        <w:rPr>
          <w:u w:val="single"/>
        </w:rPr>
        <w:t xml:space="preserve"> (by rekeying</w:t>
      </w:r>
      <w:r w:rsidR="00786F31">
        <w:rPr>
          <w:u w:val="single"/>
        </w:rPr>
        <w:t>; see 12.6.21</w:t>
      </w:r>
      <w:r>
        <w:rPr>
          <w:u w:val="single"/>
        </w:rPr>
        <w:t>)</w:t>
      </w:r>
      <w:r>
        <w:t>.</w:t>
      </w:r>
    </w:p>
    <w:p w14:paraId="06711E0B" w14:textId="2382512E" w:rsidR="00B777EC" w:rsidRDefault="00B777EC"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21DBCB87"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lastRenderedPageBreak/>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6AB46392" w:rsidR="00A47F9D" w:rsidRDefault="00A47F9D" w:rsidP="00232744">
      <w:pPr>
        <w:ind w:left="720"/>
        <w:rPr>
          <w:u w:val="single"/>
        </w:rPr>
      </w:pPr>
      <w:r>
        <w:rPr>
          <w:u w:val="single"/>
        </w:rPr>
        <w:t xml:space="preserve">Rekeying is the process by which a key associated with an </w:t>
      </w:r>
      <w:r w:rsidR="0084666D">
        <w:rPr>
          <w:u w:val="single"/>
        </w:rPr>
        <w:t xml:space="preserve">existing </w:t>
      </w:r>
      <w:r>
        <w:rPr>
          <w:u w:val="single"/>
        </w:rPr>
        <w:t xml:space="preserve">SA is </w:t>
      </w:r>
      <w:r w:rsidR="0084666D">
        <w:rPr>
          <w:u w:val="single"/>
        </w:rPr>
        <w:t>changed</w:t>
      </w:r>
      <w:r w:rsidR="004875EF">
        <w:rPr>
          <w:u w:val="single"/>
        </w:rPr>
        <w:t xml:space="preserve"> or a new key is associated with an existing SA</w:t>
      </w:r>
      <w:r>
        <w:rPr>
          <w:u w:val="single"/>
        </w:rPr>
        <w:t>.</w:t>
      </w:r>
    </w:p>
    <w:p w14:paraId="60E699C9" w14:textId="0820B669"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PTK </w:t>
      </w:r>
      <w:r w:rsidR="00D45381">
        <w:rPr>
          <w:u w:val="single"/>
        </w:rPr>
        <w:t xml:space="preserve">to a 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cases the key ID differs from the key ID </w:t>
      </w:r>
      <w:r w:rsidR="00F773C0">
        <w:rPr>
          <w:u w:val="single"/>
        </w:rPr>
        <w:t xml:space="preserve">currently in use </w:t>
      </w:r>
      <w:r w:rsidR="00B53966">
        <w:rPr>
          <w:u w:val="single"/>
        </w:rPr>
        <w:t>for that SA</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EFF3408"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p>
    <w:p w14:paraId="42A1B486" w14:textId="77777777" w:rsidR="00B777EC" w:rsidRDefault="00B777EC" w:rsidP="00B777EC"/>
    <w:p w14:paraId="59712435" w14:textId="12912A99" w:rsidR="00B777EC" w:rsidRDefault="00B777EC" w:rsidP="00B777EC">
      <w:r w:rsidRPr="00B777EC">
        <w:t>At 850.22 and 851.31 change "RSN SA" to "SA".</w:t>
      </w:r>
    </w:p>
    <w:p w14:paraId="661BD831" w14:textId="2CB44590" w:rsidR="00A47F9D" w:rsidRDefault="00A47F9D" w:rsidP="00B777EC"/>
    <w:p w14:paraId="1ADD8273" w14:textId="44EC528C" w:rsidR="00A47F9D" w:rsidRDefault="00A47F9D" w:rsidP="00B777EC">
      <w:pPr>
        <w:rPr>
          <w:u w:val="single"/>
        </w:rPr>
      </w:pPr>
      <w:r>
        <w:t>At 3242.41 and 3243.29 change “GTKReKey” to “GTKRekey”.</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t>REVISED</w:t>
      </w:r>
    </w:p>
    <w:p w14:paraId="1A983263" w14:textId="77777777" w:rsidR="00B777EC" w:rsidRDefault="00B777EC" w:rsidP="00B777EC"/>
    <w:p w14:paraId="5BD1B311" w14:textId="77777777" w:rsidR="00B777EC" w:rsidRDefault="00B777EC" w:rsidP="00B777EC">
      <w:r>
        <w:t xml:space="preserve">Make the changes shown under “Proposed changes” for CID xxx in &lt;this document&gt;, which xxx </w:t>
      </w:r>
    </w:p>
    <w:p w14:paraId="719A7F42" w14:textId="77777777" w:rsidR="00721F3D" w:rsidRDefault="00721F3D">
      <w:r>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721F3D">
        <w:trPr>
          <w:trHeight w:val="765"/>
        </w:trPr>
        <w:tc>
          <w:tcPr>
            <w:tcW w:w="600" w:type="dxa"/>
            <w:hideMark/>
          </w:tcPr>
          <w:p w14:paraId="7D10D97D" w14:textId="77777777" w:rsidR="00721F3D" w:rsidRPr="00721F3D" w:rsidRDefault="00721F3D">
            <w:pPr>
              <w:rPr>
                <w:b/>
                <w:bCs/>
              </w:rPr>
            </w:pPr>
            <w:r w:rsidRPr="00721F3D">
              <w:rPr>
                <w:b/>
                <w:bCs/>
              </w:rPr>
              <w:t>CID</w:t>
            </w:r>
          </w:p>
        </w:tc>
        <w:tc>
          <w:tcPr>
            <w:tcW w:w="920" w:type="dxa"/>
            <w:hideMark/>
          </w:tcPr>
          <w:p w14:paraId="0A7496C3" w14:textId="77777777" w:rsidR="00721F3D" w:rsidRPr="00721F3D" w:rsidRDefault="00721F3D">
            <w:pPr>
              <w:rPr>
                <w:b/>
                <w:bCs/>
              </w:rPr>
            </w:pPr>
            <w:r w:rsidRPr="00721F3D">
              <w:rPr>
                <w:b/>
                <w:bCs/>
              </w:rPr>
              <w:t>Page</w:t>
            </w:r>
          </w:p>
        </w:tc>
        <w:tc>
          <w:tcPr>
            <w:tcW w:w="820" w:type="dxa"/>
            <w:hideMark/>
          </w:tcPr>
          <w:p w14:paraId="35C85E2E" w14:textId="77777777" w:rsidR="00721F3D" w:rsidRPr="00721F3D" w:rsidRDefault="00721F3D">
            <w:pPr>
              <w:rPr>
                <w:b/>
                <w:bCs/>
              </w:rPr>
            </w:pPr>
            <w:r w:rsidRPr="00721F3D">
              <w:rPr>
                <w:b/>
                <w:bCs/>
              </w:rPr>
              <w:t>Line</w:t>
            </w:r>
          </w:p>
        </w:tc>
        <w:tc>
          <w:tcPr>
            <w:tcW w:w="920" w:type="dxa"/>
            <w:hideMark/>
          </w:tcPr>
          <w:p w14:paraId="62D1CC0C" w14:textId="77777777" w:rsidR="00721F3D" w:rsidRPr="00721F3D" w:rsidRDefault="00721F3D">
            <w:pPr>
              <w:rPr>
                <w:b/>
                <w:bCs/>
              </w:rPr>
            </w:pPr>
            <w:r w:rsidRPr="00721F3D">
              <w:rPr>
                <w:b/>
                <w:bCs/>
              </w:rPr>
              <w:t>Clause</w:t>
            </w:r>
          </w:p>
        </w:tc>
        <w:tc>
          <w:tcPr>
            <w:tcW w:w="2700" w:type="dxa"/>
            <w:hideMark/>
          </w:tcPr>
          <w:p w14:paraId="258DD130" w14:textId="77777777" w:rsidR="00721F3D" w:rsidRPr="00721F3D" w:rsidRDefault="00721F3D">
            <w:pPr>
              <w:rPr>
                <w:b/>
                <w:bCs/>
              </w:rPr>
            </w:pPr>
            <w:r w:rsidRPr="00721F3D">
              <w:rPr>
                <w:b/>
                <w:bCs/>
              </w:rPr>
              <w:t>Comment</w:t>
            </w:r>
          </w:p>
        </w:tc>
        <w:tc>
          <w:tcPr>
            <w:tcW w:w="2700" w:type="dxa"/>
            <w:hideMark/>
          </w:tcPr>
          <w:p w14:paraId="4C9ED655" w14:textId="77777777" w:rsidR="00721F3D" w:rsidRPr="00721F3D" w:rsidRDefault="00721F3D">
            <w:pPr>
              <w:rPr>
                <w:b/>
                <w:bCs/>
              </w:rPr>
            </w:pPr>
            <w:r w:rsidRPr="00721F3D">
              <w:rPr>
                <w:b/>
                <w:bCs/>
              </w:rPr>
              <w:t>Proposed Change</w:t>
            </w:r>
          </w:p>
        </w:tc>
        <w:tc>
          <w:tcPr>
            <w:tcW w:w="2700"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721F3D">
        <w:trPr>
          <w:trHeight w:val="2550"/>
        </w:trPr>
        <w:tc>
          <w:tcPr>
            <w:tcW w:w="600" w:type="dxa"/>
            <w:hideMark/>
          </w:tcPr>
          <w:p w14:paraId="27BAA123" w14:textId="77777777" w:rsidR="00721F3D" w:rsidRPr="00721F3D" w:rsidRDefault="00721F3D" w:rsidP="00721F3D">
            <w:r w:rsidRPr="00721F3D">
              <w:t>1312</w:t>
            </w:r>
          </w:p>
        </w:tc>
        <w:tc>
          <w:tcPr>
            <w:tcW w:w="920" w:type="dxa"/>
            <w:hideMark/>
          </w:tcPr>
          <w:p w14:paraId="3DC47782" w14:textId="77777777" w:rsidR="00721F3D" w:rsidRPr="00721F3D" w:rsidRDefault="00721F3D" w:rsidP="00721F3D">
            <w:r w:rsidRPr="00721F3D">
              <w:t>3477.00</w:t>
            </w:r>
          </w:p>
        </w:tc>
        <w:tc>
          <w:tcPr>
            <w:tcW w:w="820" w:type="dxa"/>
            <w:hideMark/>
          </w:tcPr>
          <w:p w14:paraId="35298E1E" w14:textId="77777777" w:rsidR="00721F3D" w:rsidRPr="00721F3D" w:rsidRDefault="00721F3D">
            <w:r w:rsidRPr="00721F3D">
              <w:t>46</w:t>
            </w:r>
          </w:p>
        </w:tc>
        <w:tc>
          <w:tcPr>
            <w:tcW w:w="920" w:type="dxa"/>
            <w:hideMark/>
          </w:tcPr>
          <w:p w14:paraId="163DF137" w14:textId="77777777" w:rsidR="00721F3D" w:rsidRPr="00721F3D" w:rsidRDefault="00721F3D">
            <w:r w:rsidRPr="00721F3D">
              <w:t>17.3.2.2</w:t>
            </w:r>
          </w:p>
        </w:tc>
        <w:tc>
          <w:tcPr>
            <w:tcW w:w="2700" w:type="dxa"/>
            <w:hideMark/>
          </w:tcPr>
          <w:p w14:paraId="615B7610" w14:textId="77777777" w:rsidR="00721F3D" w:rsidRPr="00721F3D" w:rsidRDefault="00721F3D">
            <w:r w:rsidRPr="00721F3D">
              <w:t>Figure 17-4 is not an illustration of the transmitted PPDU, it is only showing the traninging fields.</w:t>
            </w:r>
          </w:p>
        </w:tc>
        <w:tc>
          <w:tcPr>
            <w:tcW w:w="2700"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700" w:type="dxa"/>
            <w:hideMark/>
          </w:tcPr>
          <w:p w14:paraId="3683E3FC" w14:textId="77777777" w:rsidR="00721F3D" w:rsidRPr="00721F3D" w:rsidRDefault="00721F3D">
            <w:r w:rsidRPr="00721F3D">
              <w:t>Which direction is preferred?</w:t>
            </w:r>
          </w:p>
        </w:tc>
      </w:tr>
      <w:tr w:rsidR="00721F3D" w:rsidRPr="00721F3D" w14:paraId="09AEA5E3" w14:textId="77777777" w:rsidTr="00721F3D">
        <w:trPr>
          <w:trHeight w:val="1785"/>
        </w:trPr>
        <w:tc>
          <w:tcPr>
            <w:tcW w:w="600" w:type="dxa"/>
            <w:hideMark/>
          </w:tcPr>
          <w:p w14:paraId="06A965E5" w14:textId="77777777" w:rsidR="00721F3D" w:rsidRPr="00721F3D" w:rsidRDefault="00721F3D" w:rsidP="00721F3D">
            <w:r w:rsidRPr="00721F3D">
              <w:t>1372</w:t>
            </w:r>
          </w:p>
        </w:tc>
        <w:tc>
          <w:tcPr>
            <w:tcW w:w="920" w:type="dxa"/>
            <w:hideMark/>
          </w:tcPr>
          <w:p w14:paraId="2BB6ADE0" w14:textId="77777777" w:rsidR="00721F3D" w:rsidRPr="00721F3D" w:rsidRDefault="00721F3D" w:rsidP="00721F3D">
            <w:r w:rsidRPr="00721F3D">
              <w:t>3418.00</w:t>
            </w:r>
          </w:p>
        </w:tc>
        <w:tc>
          <w:tcPr>
            <w:tcW w:w="820" w:type="dxa"/>
            <w:hideMark/>
          </w:tcPr>
          <w:p w14:paraId="1A39403F" w14:textId="77777777" w:rsidR="00721F3D" w:rsidRPr="00721F3D" w:rsidRDefault="00721F3D">
            <w:r w:rsidRPr="00721F3D">
              <w:t>11</w:t>
            </w:r>
          </w:p>
        </w:tc>
        <w:tc>
          <w:tcPr>
            <w:tcW w:w="920" w:type="dxa"/>
            <w:hideMark/>
          </w:tcPr>
          <w:p w14:paraId="21626A82" w14:textId="77777777" w:rsidR="00721F3D" w:rsidRPr="00721F3D" w:rsidRDefault="00721F3D">
            <w:r w:rsidRPr="00721F3D">
              <w:t>15.2.3.6</w:t>
            </w:r>
          </w:p>
        </w:tc>
        <w:tc>
          <w:tcPr>
            <w:tcW w:w="2700"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700"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700" w:type="dxa"/>
            <w:hideMark/>
          </w:tcPr>
          <w:p w14:paraId="7E9A8A0A" w14:textId="77777777" w:rsidR="00721F3D" w:rsidRPr="00721F3D" w:rsidRDefault="00721F3D">
            <w:r w:rsidRPr="00721F3D">
              <w:t>Which direction is preferred?</w:t>
            </w:r>
          </w:p>
        </w:tc>
      </w:tr>
      <w:tr w:rsidR="00721F3D" w:rsidRPr="00721F3D" w14:paraId="618E8B49" w14:textId="77777777" w:rsidTr="00721F3D">
        <w:trPr>
          <w:trHeight w:val="2295"/>
        </w:trPr>
        <w:tc>
          <w:tcPr>
            <w:tcW w:w="600" w:type="dxa"/>
            <w:hideMark/>
          </w:tcPr>
          <w:p w14:paraId="0C1E9982" w14:textId="77777777" w:rsidR="00721F3D" w:rsidRPr="00721F3D" w:rsidRDefault="00721F3D" w:rsidP="00721F3D">
            <w:r w:rsidRPr="00721F3D">
              <w:t>1378</w:t>
            </w:r>
          </w:p>
        </w:tc>
        <w:tc>
          <w:tcPr>
            <w:tcW w:w="920" w:type="dxa"/>
            <w:hideMark/>
          </w:tcPr>
          <w:p w14:paraId="0CF3D1DE" w14:textId="77777777" w:rsidR="00721F3D" w:rsidRPr="00721F3D" w:rsidRDefault="00721F3D" w:rsidP="00721F3D">
            <w:r w:rsidRPr="00721F3D">
              <w:t>3417.00</w:t>
            </w:r>
          </w:p>
        </w:tc>
        <w:tc>
          <w:tcPr>
            <w:tcW w:w="820" w:type="dxa"/>
            <w:hideMark/>
          </w:tcPr>
          <w:p w14:paraId="00C6E9A0" w14:textId="77777777" w:rsidR="00721F3D" w:rsidRPr="00721F3D" w:rsidRDefault="00721F3D">
            <w:r w:rsidRPr="00721F3D">
              <w:t>63</w:t>
            </w:r>
          </w:p>
        </w:tc>
        <w:tc>
          <w:tcPr>
            <w:tcW w:w="920" w:type="dxa"/>
            <w:hideMark/>
          </w:tcPr>
          <w:p w14:paraId="69FD4689" w14:textId="77777777" w:rsidR="00721F3D" w:rsidRPr="00721F3D" w:rsidRDefault="00721F3D">
            <w:r w:rsidRPr="00721F3D">
              <w:t>15.2.3.3</w:t>
            </w:r>
          </w:p>
        </w:tc>
        <w:tc>
          <w:tcPr>
            <w:tcW w:w="2700"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700" w:type="dxa"/>
            <w:hideMark/>
          </w:tcPr>
          <w:p w14:paraId="5C538CDB" w14:textId="77777777" w:rsidR="00721F3D" w:rsidRPr="00721F3D" w:rsidRDefault="00721F3D">
            <w:r w:rsidRPr="00721F3D">
              <w:t>Clarify how a unitless RSSI is to be used</w:t>
            </w:r>
          </w:p>
        </w:tc>
        <w:tc>
          <w:tcPr>
            <w:tcW w:w="2700"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721F3D">
        <w:trPr>
          <w:trHeight w:val="2550"/>
        </w:trPr>
        <w:tc>
          <w:tcPr>
            <w:tcW w:w="600" w:type="dxa"/>
            <w:hideMark/>
          </w:tcPr>
          <w:p w14:paraId="348260AA" w14:textId="77777777" w:rsidR="00721F3D" w:rsidRPr="00721F3D" w:rsidRDefault="00721F3D" w:rsidP="00721F3D">
            <w:r w:rsidRPr="00721F3D">
              <w:t>1550</w:t>
            </w:r>
          </w:p>
        </w:tc>
        <w:tc>
          <w:tcPr>
            <w:tcW w:w="920" w:type="dxa"/>
            <w:hideMark/>
          </w:tcPr>
          <w:p w14:paraId="08C317E1" w14:textId="77777777" w:rsidR="00721F3D" w:rsidRPr="00721F3D" w:rsidRDefault="00721F3D" w:rsidP="00721F3D"/>
        </w:tc>
        <w:tc>
          <w:tcPr>
            <w:tcW w:w="820" w:type="dxa"/>
            <w:hideMark/>
          </w:tcPr>
          <w:p w14:paraId="3F77B61B" w14:textId="77777777" w:rsidR="00721F3D" w:rsidRPr="00721F3D" w:rsidRDefault="00721F3D"/>
        </w:tc>
        <w:tc>
          <w:tcPr>
            <w:tcW w:w="920" w:type="dxa"/>
            <w:hideMark/>
          </w:tcPr>
          <w:p w14:paraId="6E91F974" w14:textId="77777777" w:rsidR="00721F3D" w:rsidRPr="00721F3D" w:rsidRDefault="00721F3D"/>
        </w:tc>
        <w:tc>
          <w:tcPr>
            <w:tcW w:w="2700" w:type="dxa"/>
            <w:hideMark/>
          </w:tcPr>
          <w:p w14:paraId="711BDA90" w14:textId="77777777" w:rsidR="00721F3D" w:rsidRPr="00721F3D" w:rsidRDefault="00721F3D">
            <w:r w:rsidRPr="00721F3D">
              <w:t>Where something is applicable to PCPs as well as APs, this should be stated</w:t>
            </w:r>
          </w:p>
        </w:tc>
        <w:tc>
          <w:tcPr>
            <w:tcW w:w="2700" w:type="dxa"/>
            <w:hideMark/>
          </w:tcPr>
          <w:p w14:paraId="549CB73A" w14:textId="77777777" w:rsidR="00721F3D" w:rsidRPr="00721F3D" w:rsidRDefault="00721F3D">
            <w:r w:rsidRPr="00721F3D">
              <w:t>Review uses of AP and add "or PCP" where appropriate</w:t>
            </w:r>
          </w:p>
        </w:tc>
        <w:tc>
          <w:tcPr>
            <w:tcW w:w="2700"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721F3D">
        <w:trPr>
          <w:trHeight w:val="3570"/>
        </w:trPr>
        <w:tc>
          <w:tcPr>
            <w:tcW w:w="600" w:type="dxa"/>
            <w:hideMark/>
          </w:tcPr>
          <w:p w14:paraId="1496BCB5" w14:textId="77777777" w:rsidR="00721F3D" w:rsidRPr="00721F3D" w:rsidRDefault="00721F3D" w:rsidP="00721F3D">
            <w:r w:rsidRPr="00721F3D">
              <w:lastRenderedPageBreak/>
              <w:t>1714</w:t>
            </w:r>
          </w:p>
        </w:tc>
        <w:tc>
          <w:tcPr>
            <w:tcW w:w="920" w:type="dxa"/>
            <w:hideMark/>
          </w:tcPr>
          <w:p w14:paraId="75D22D63" w14:textId="77777777" w:rsidR="00721F3D" w:rsidRPr="00721F3D" w:rsidRDefault="00721F3D" w:rsidP="00721F3D"/>
        </w:tc>
        <w:tc>
          <w:tcPr>
            <w:tcW w:w="820" w:type="dxa"/>
            <w:hideMark/>
          </w:tcPr>
          <w:p w14:paraId="1B2433AA" w14:textId="77777777" w:rsidR="00721F3D" w:rsidRPr="00721F3D" w:rsidRDefault="00721F3D"/>
        </w:tc>
        <w:tc>
          <w:tcPr>
            <w:tcW w:w="920" w:type="dxa"/>
            <w:hideMark/>
          </w:tcPr>
          <w:p w14:paraId="56DECE9B" w14:textId="77777777" w:rsidR="00721F3D" w:rsidRPr="00721F3D" w:rsidRDefault="00721F3D"/>
        </w:tc>
        <w:tc>
          <w:tcPr>
            <w:tcW w:w="2700"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700"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700" w:type="dxa"/>
            <w:hideMark/>
          </w:tcPr>
          <w:p w14:paraId="6BB7E825" w14:textId="77777777" w:rsidR="00721F3D" w:rsidRPr="00721F3D" w:rsidRDefault="00721F3D">
            <w:r w:rsidRPr="00721F3D">
              <w:t>See CID 1570</w:t>
            </w:r>
          </w:p>
        </w:tc>
      </w:tr>
      <w:tr w:rsidR="00721F3D" w:rsidRPr="00721F3D" w14:paraId="113E224B" w14:textId="77777777" w:rsidTr="00721F3D">
        <w:trPr>
          <w:trHeight w:val="4080"/>
        </w:trPr>
        <w:tc>
          <w:tcPr>
            <w:tcW w:w="600" w:type="dxa"/>
            <w:hideMark/>
          </w:tcPr>
          <w:p w14:paraId="1F48DFB2" w14:textId="77777777" w:rsidR="00721F3D" w:rsidRPr="00721F3D" w:rsidRDefault="00721F3D" w:rsidP="00721F3D">
            <w:r w:rsidRPr="00721F3D">
              <w:t>1802</w:t>
            </w:r>
          </w:p>
        </w:tc>
        <w:tc>
          <w:tcPr>
            <w:tcW w:w="920" w:type="dxa"/>
            <w:hideMark/>
          </w:tcPr>
          <w:p w14:paraId="49BA7858" w14:textId="77777777" w:rsidR="00721F3D" w:rsidRPr="00721F3D" w:rsidRDefault="00721F3D" w:rsidP="00721F3D"/>
        </w:tc>
        <w:tc>
          <w:tcPr>
            <w:tcW w:w="820" w:type="dxa"/>
            <w:hideMark/>
          </w:tcPr>
          <w:p w14:paraId="11A7A927" w14:textId="77777777" w:rsidR="00721F3D" w:rsidRPr="00721F3D" w:rsidRDefault="00721F3D"/>
        </w:tc>
        <w:tc>
          <w:tcPr>
            <w:tcW w:w="920" w:type="dxa"/>
            <w:hideMark/>
          </w:tcPr>
          <w:p w14:paraId="68110732" w14:textId="77777777" w:rsidR="00721F3D" w:rsidRPr="00721F3D" w:rsidRDefault="00721F3D"/>
        </w:tc>
        <w:tc>
          <w:tcPr>
            <w:tcW w:w="2700"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700" w:type="dxa"/>
            <w:hideMark/>
          </w:tcPr>
          <w:p w14:paraId="79B0D083" w14:textId="77777777" w:rsidR="00721F3D" w:rsidRPr="00721F3D" w:rsidRDefault="00721F3D">
            <w:r w:rsidRPr="00721F3D">
              <w:t>Review the references to DMG beacons, and add references to S1G beacons where appropriate</w:t>
            </w:r>
          </w:p>
        </w:tc>
        <w:tc>
          <w:tcPr>
            <w:tcW w:w="2700"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721F3D">
        <w:trPr>
          <w:trHeight w:val="6120"/>
        </w:trPr>
        <w:tc>
          <w:tcPr>
            <w:tcW w:w="600" w:type="dxa"/>
            <w:hideMark/>
          </w:tcPr>
          <w:p w14:paraId="17B64841" w14:textId="77777777" w:rsidR="00721F3D" w:rsidRPr="00721F3D" w:rsidRDefault="00721F3D" w:rsidP="00721F3D">
            <w:r w:rsidRPr="00721F3D">
              <w:lastRenderedPageBreak/>
              <w:t>1803</w:t>
            </w:r>
          </w:p>
        </w:tc>
        <w:tc>
          <w:tcPr>
            <w:tcW w:w="920" w:type="dxa"/>
            <w:hideMark/>
          </w:tcPr>
          <w:p w14:paraId="46FE9126" w14:textId="77777777" w:rsidR="00721F3D" w:rsidRPr="00721F3D" w:rsidRDefault="00721F3D" w:rsidP="00721F3D"/>
        </w:tc>
        <w:tc>
          <w:tcPr>
            <w:tcW w:w="820" w:type="dxa"/>
            <w:hideMark/>
          </w:tcPr>
          <w:p w14:paraId="2F1326BD" w14:textId="77777777" w:rsidR="00721F3D" w:rsidRPr="00721F3D" w:rsidRDefault="00721F3D"/>
        </w:tc>
        <w:tc>
          <w:tcPr>
            <w:tcW w:w="920" w:type="dxa"/>
            <w:hideMark/>
          </w:tcPr>
          <w:p w14:paraId="0CC1E287" w14:textId="77777777" w:rsidR="00721F3D" w:rsidRPr="00721F3D" w:rsidRDefault="00721F3D"/>
        </w:tc>
        <w:tc>
          <w:tcPr>
            <w:tcW w:w="2700"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700" w:type="dxa"/>
            <w:hideMark/>
          </w:tcPr>
          <w:p w14:paraId="1D8E5E5D" w14:textId="77777777" w:rsidR="00721F3D" w:rsidRPr="00721F3D" w:rsidRDefault="00721F3D">
            <w:r w:rsidRPr="00721F3D">
              <w:t>Review the references to vanilla beacons, and add references to DMG and/or S1G beacons where appropriate</w:t>
            </w:r>
          </w:p>
        </w:tc>
        <w:tc>
          <w:tcPr>
            <w:tcW w:w="2700"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721F3D">
        <w:trPr>
          <w:trHeight w:val="2040"/>
        </w:trPr>
        <w:tc>
          <w:tcPr>
            <w:tcW w:w="600" w:type="dxa"/>
            <w:hideMark/>
          </w:tcPr>
          <w:p w14:paraId="64133B84" w14:textId="77777777" w:rsidR="00721F3D" w:rsidRPr="00721F3D" w:rsidRDefault="00721F3D" w:rsidP="00721F3D">
            <w:r w:rsidRPr="00721F3D">
              <w:t>2017</w:t>
            </w:r>
          </w:p>
        </w:tc>
        <w:tc>
          <w:tcPr>
            <w:tcW w:w="920" w:type="dxa"/>
            <w:hideMark/>
          </w:tcPr>
          <w:p w14:paraId="50DF2D30" w14:textId="77777777" w:rsidR="00721F3D" w:rsidRPr="00721F3D" w:rsidRDefault="00721F3D" w:rsidP="00721F3D"/>
        </w:tc>
        <w:tc>
          <w:tcPr>
            <w:tcW w:w="820" w:type="dxa"/>
            <w:hideMark/>
          </w:tcPr>
          <w:p w14:paraId="1CD57C68" w14:textId="77777777" w:rsidR="00721F3D" w:rsidRPr="00721F3D" w:rsidRDefault="00721F3D"/>
        </w:tc>
        <w:tc>
          <w:tcPr>
            <w:tcW w:w="920" w:type="dxa"/>
            <w:hideMark/>
          </w:tcPr>
          <w:p w14:paraId="45125FD2" w14:textId="77777777" w:rsidR="00721F3D" w:rsidRPr="00721F3D" w:rsidRDefault="00721F3D"/>
        </w:tc>
        <w:tc>
          <w:tcPr>
            <w:tcW w:w="2700"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700"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700" w:type="dxa"/>
            <w:hideMark/>
          </w:tcPr>
          <w:p w14:paraId="3092A2A1" w14:textId="77777777" w:rsidR="00721F3D" w:rsidRPr="00721F3D" w:rsidRDefault="00721F3D">
            <w:r w:rsidRPr="00721F3D">
              <w:t>Which PHYs should have ToD information?</w:t>
            </w:r>
          </w:p>
        </w:tc>
      </w:tr>
      <w:tr w:rsidR="00721F3D" w:rsidRPr="00721F3D" w14:paraId="2492D3B0" w14:textId="77777777" w:rsidTr="00721F3D">
        <w:trPr>
          <w:trHeight w:val="1785"/>
        </w:trPr>
        <w:tc>
          <w:tcPr>
            <w:tcW w:w="600" w:type="dxa"/>
            <w:hideMark/>
          </w:tcPr>
          <w:p w14:paraId="37AD08B2" w14:textId="77777777" w:rsidR="00721F3D" w:rsidRPr="00721F3D" w:rsidRDefault="00721F3D" w:rsidP="00721F3D">
            <w:r w:rsidRPr="00721F3D">
              <w:t>2018</w:t>
            </w:r>
          </w:p>
        </w:tc>
        <w:tc>
          <w:tcPr>
            <w:tcW w:w="920" w:type="dxa"/>
            <w:hideMark/>
          </w:tcPr>
          <w:p w14:paraId="043371E1" w14:textId="77777777" w:rsidR="00721F3D" w:rsidRPr="00721F3D" w:rsidRDefault="00721F3D" w:rsidP="00721F3D"/>
        </w:tc>
        <w:tc>
          <w:tcPr>
            <w:tcW w:w="820" w:type="dxa"/>
            <w:hideMark/>
          </w:tcPr>
          <w:p w14:paraId="44A476B7" w14:textId="77777777" w:rsidR="00721F3D" w:rsidRPr="00721F3D" w:rsidRDefault="00721F3D"/>
        </w:tc>
        <w:tc>
          <w:tcPr>
            <w:tcW w:w="920" w:type="dxa"/>
            <w:hideMark/>
          </w:tcPr>
          <w:p w14:paraId="746B2A3C" w14:textId="77777777" w:rsidR="00721F3D" w:rsidRPr="00721F3D" w:rsidRDefault="00721F3D">
            <w:r w:rsidRPr="00721F3D">
              <w:t>23</w:t>
            </w:r>
          </w:p>
        </w:tc>
        <w:tc>
          <w:tcPr>
            <w:tcW w:w="2700"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700" w:type="dxa"/>
            <w:hideMark/>
          </w:tcPr>
          <w:p w14:paraId="12AD48B2" w14:textId="77777777" w:rsidR="00721F3D" w:rsidRPr="00721F3D" w:rsidRDefault="00721F3D">
            <w:r w:rsidRPr="00721F3D">
              <w:t>If S1G STAs want to be able to timing, then add the timing infrastructure to the S1G PHY specification</w:t>
            </w:r>
          </w:p>
        </w:tc>
        <w:tc>
          <w:tcPr>
            <w:tcW w:w="2700" w:type="dxa"/>
            <w:hideMark/>
          </w:tcPr>
          <w:p w14:paraId="1CCAA118" w14:textId="77777777" w:rsidR="00721F3D" w:rsidRPr="00721F3D" w:rsidRDefault="00721F3D">
            <w:r w:rsidRPr="00721F3D">
              <w:t>Does S1G need timing information?</w:t>
            </w:r>
          </w:p>
        </w:tc>
      </w:tr>
      <w:tr w:rsidR="00721F3D" w:rsidRPr="00721F3D" w14:paraId="1B4D2891" w14:textId="77777777" w:rsidTr="00721F3D">
        <w:trPr>
          <w:trHeight w:val="3060"/>
        </w:trPr>
        <w:tc>
          <w:tcPr>
            <w:tcW w:w="600" w:type="dxa"/>
            <w:hideMark/>
          </w:tcPr>
          <w:p w14:paraId="2FCFC2BB" w14:textId="77777777" w:rsidR="00721F3D" w:rsidRPr="00721F3D" w:rsidRDefault="00721F3D" w:rsidP="00721F3D">
            <w:r w:rsidRPr="00721F3D">
              <w:lastRenderedPageBreak/>
              <w:t>2119</w:t>
            </w:r>
          </w:p>
        </w:tc>
        <w:tc>
          <w:tcPr>
            <w:tcW w:w="920" w:type="dxa"/>
            <w:hideMark/>
          </w:tcPr>
          <w:p w14:paraId="506E57D3" w14:textId="77777777" w:rsidR="00721F3D" w:rsidRPr="00721F3D" w:rsidRDefault="00721F3D" w:rsidP="00721F3D"/>
        </w:tc>
        <w:tc>
          <w:tcPr>
            <w:tcW w:w="820" w:type="dxa"/>
            <w:hideMark/>
          </w:tcPr>
          <w:p w14:paraId="342C15F7" w14:textId="77777777" w:rsidR="00721F3D" w:rsidRPr="00721F3D" w:rsidRDefault="00721F3D"/>
        </w:tc>
        <w:tc>
          <w:tcPr>
            <w:tcW w:w="920" w:type="dxa"/>
            <w:hideMark/>
          </w:tcPr>
          <w:p w14:paraId="1A53762E" w14:textId="77777777" w:rsidR="00721F3D" w:rsidRPr="00721F3D" w:rsidRDefault="00721F3D"/>
        </w:tc>
        <w:tc>
          <w:tcPr>
            <w:tcW w:w="2700" w:type="dxa"/>
            <w:hideMark/>
          </w:tcPr>
          <w:p w14:paraId="0EE98733" w14:textId="77777777" w:rsidR="00721F3D" w:rsidRPr="00721F3D" w:rsidRDefault="00721F3D">
            <w:r w:rsidRPr="00721F3D">
              <w:t>What an "operating class" does and does not specify seems to depend on the subclause the term is used in</w:t>
            </w:r>
          </w:p>
        </w:tc>
        <w:tc>
          <w:tcPr>
            <w:tcW w:w="2700" w:type="dxa"/>
            <w:hideMark/>
          </w:tcPr>
          <w:p w14:paraId="2FF463C1" w14:textId="77777777" w:rsidR="00721F3D" w:rsidRPr="00721F3D" w:rsidRDefault="00721F3D">
            <w:r w:rsidRPr="00721F3D">
              <w:t>Agree on what exactly an operating class does and does not specify, and capture this in the spec</w:t>
            </w:r>
          </w:p>
        </w:tc>
        <w:tc>
          <w:tcPr>
            <w:tcW w:w="2700"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721F3D">
        <w:trPr>
          <w:trHeight w:val="3315"/>
        </w:trPr>
        <w:tc>
          <w:tcPr>
            <w:tcW w:w="600" w:type="dxa"/>
            <w:hideMark/>
          </w:tcPr>
          <w:p w14:paraId="7A1A14A5" w14:textId="77777777" w:rsidR="00721F3D" w:rsidRPr="00721F3D" w:rsidRDefault="00721F3D" w:rsidP="00721F3D">
            <w:r w:rsidRPr="00721F3D">
              <w:t>2135</w:t>
            </w:r>
          </w:p>
        </w:tc>
        <w:tc>
          <w:tcPr>
            <w:tcW w:w="920" w:type="dxa"/>
            <w:hideMark/>
          </w:tcPr>
          <w:p w14:paraId="5596F334" w14:textId="77777777" w:rsidR="00721F3D" w:rsidRPr="00721F3D" w:rsidRDefault="00721F3D" w:rsidP="00721F3D"/>
        </w:tc>
        <w:tc>
          <w:tcPr>
            <w:tcW w:w="820" w:type="dxa"/>
            <w:hideMark/>
          </w:tcPr>
          <w:p w14:paraId="1AFCF613" w14:textId="77777777" w:rsidR="00721F3D" w:rsidRPr="00721F3D" w:rsidRDefault="00721F3D"/>
        </w:tc>
        <w:tc>
          <w:tcPr>
            <w:tcW w:w="920" w:type="dxa"/>
            <w:hideMark/>
          </w:tcPr>
          <w:p w14:paraId="7578E4C1" w14:textId="77777777" w:rsidR="00721F3D" w:rsidRPr="00721F3D" w:rsidRDefault="00721F3D"/>
        </w:tc>
        <w:tc>
          <w:tcPr>
            <w:tcW w:w="2700"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700" w:type="dxa"/>
            <w:hideMark/>
          </w:tcPr>
          <w:p w14:paraId="4B8C2A4F" w14:textId="77777777" w:rsidR="00721F3D" w:rsidRPr="00721F3D" w:rsidRDefault="00721F3D">
            <w:r w:rsidRPr="00721F3D">
              <w:t>Address the issues identified</w:t>
            </w:r>
          </w:p>
        </w:tc>
        <w:tc>
          <w:tcPr>
            <w:tcW w:w="2700" w:type="dxa"/>
            <w:hideMark/>
          </w:tcPr>
          <w:p w14:paraId="5B3FF828" w14:textId="77777777" w:rsidR="00721F3D" w:rsidRPr="00721F3D" w:rsidRDefault="00721F3D">
            <w:r w:rsidRPr="00721F3D">
              <w:t>Any ideas?  Do we agree that "direct link" only applies to an infrastructure BSS?</w:t>
            </w:r>
          </w:p>
        </w:tc>
      </w:tr>
    </w:tbl>
    <w:p w14:paraId="139DB587" w14:textId="77777777" w:rsidR="00721F3D" w:rsidRDefault="00721F3D" w:rsidP="00B11C5F"/>
    <w:p w14:paraId="3DD8E535" w14:textId="77777777" w:rsidR="00721F3D" w:rsidRDefault="00721F3D">
      <w:r>
        <w:br w:type="page"/>
      </w:r>
    </w:p>
    <w:p w14:paraId="03A36CAB" w14:textId="0788D994" w:rsidR="00721F3D" w:rsidRDefault="00721F3D" w:rsidP="00721F3D">
      <w:r>
        <w:lastRenderedPageBreak/>
        <w:t>C</w:t>
      </w:r>
      <w:r>
        <w:t>omments needing confirmation of the</w:t>
      </w:r>
      <w:r>
        <w:t xml:space="preserve"> direction:</w:t>
      </w:r>
    </w:p>
    <w:p w14:paraId="280FBE69" w14:textId="1F0F8F7E" w:rsidR="00721F3D" w:rsidRDefault="00721F3D" w:rsidP="00721F3D"/>
    <w:tbl>
      <w:tblPr>
        <w:tblStyle w:val="TableGrid"/>
        <w:tblW w:w="12988" w:type="dxa"/>
        <w:tblLook w:val="04A0" w:firstRow="1" w:lastRow="0" w:firstColumn="1" w:lastColumn="0" w:noHBand="0" w:noVBand="1"/>
      </w:tblPr>
      <w:tblGrid>
        <w:gridCol w:w="656"/>
        <w:gridCol w:w="931"/>
        <w:gridCol w:w="644"/>
        <w:gridCol w:w="852"/>
        <w:gridCol w:w="3321"/>
        <w:gridCol w:w="5066"/>
        <w:gridCol w:w="1518"/>
      </w:tblGrid>
      <w:tr w:rsidR="00721F3D" w:rsidRPr="00721F3D" w14:paraId="4533A792" w14:textId="77777777" w:rsidTr="00721F3D">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3939" w:type="dxa"/>
            <w:hideMark/>
          </w:tcPr>
          <w:p w14:paraId="27C021D4" w14:textId="77777777" w:rsidR="00721F3D" w:rsidRPr="00721F3D" w:rsidRDefault="00721F3D">
            <w:pPr>
              <w:rPr>
                <w:b/>
                <w:bCs/>
              </w:rPr>
            </w:pPr>
            <w:r w:rsidRPr="00721F3D">
              <w:rPr>
                <w:b/>
                <w:bCs/>
              </w:rPr>
              <w:t>Proposed Change</w:t>
            </w:r>
          </w:p>
        </w:tc>
        <w:tc>
          <w:tcPr>
            <w:tcW w:w="2645"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721F3D">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3939" w:type="dxa"/>
            <w:hideMark/>
          </w:tcPr>
          <w:p w14:paraId="0DB11710" w14:textId="77777777" w:rsidR="00721F3D" w:rsidRPr="00721F3D" w:rsidRDefault="00721F3D">
            <w:r w:rsidRPr="00721F3D">
              <w:t>Add new RELATIVE_TX_RX_FREQ_OFFSET parameter to RXVECTOR and TRIGVECTOR</w:t>
            </w:r>
          </w:p>
        </w:tc>
        <w:tc>
          <w:tcPr>
            <w:tcW w:w="2645" w:type="dxa"/>
            <w:hideMark/>
          </w:tcPr>
          <w:p w14:paraId="5DCE7483" w14:textId="77777777" w:rsidR="00721F3D" w:rsidRPr="00721F3D" w:rsidRDefault="00721F3D">
            <w:r w:rsidRPr="00721F3D">
              <w:t>Any objections?</w:t>
            </w:r>
          </w:p>
        </w:tc>
      </w:tr>
      <w:tr w:rsidR="00721F3D" w:rsidRPr="00721F3D" w14:paraId="32AEA99C" w14:textId="77777777" w:rsidTr="00721F3D">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3939" w:type="dxa"/>
            <w:hideMark/>
          </w:tcPr>
          <w:p w14:paraId="21F4741F" w14:textId="77777777" w:rsidR="00721F3D" w:rsidRPr="00721F3D" w:rsidRDefault="00721F3D">
            <w:r w:rsidRPr="00721F3D">
              <w:t>Deprecate DMG relay operation</w:t>
            </w:r>
          </w:p>
        </w:tc>
        <w:tc>
          <w:tcPr>
            <w:tcW w:w="2645" w:type="dxa"/>
            <w:hideMark/>
          </w:tcPr>
          <w:p w14:paraId="3A1780A2" w14:textId="77777777" w:rsidR="00721F3D" w:rsidRPr="00721F3D" w:rsidRDefault="00721F3D">
            <w:r w:rsidRPr="00721F3D">
              <w:t>Any objections?</w:t>
            </w:r>
          </w:p>
        </w:tc>
      </w:tr>
      <w:tr w:rsidR="00721F3D" w:rsidRPr="00721F3D" w14:paraId="452AFDAF" w14:textId="77777777" w:rsidTr="00721F3D">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3939" w:type="dxa"/>
            <w:hideMark/>
          </w:tcPr>
          <w:p w14:paraId="400ADBE9" w14:textId="77777777" w:rsidR="00721F3D" w:rsidRPr="00721F3D" w:rsidRDefault="00721F3D">
            <w:r w:rsidRPr="00721F3D">
              <w:t>Change the ~9 instances of "standard assumes" to "standard relies on the fact that" (I can provide locations)</w:t>
            </w:r>
          </w:p>
        </w:tc>
        <w:tc>
          <w:tcPr>
            <w:tcW w:w="2645" w:type="dxa"/>
            <w:hideMark/>
          </w:tcPr>
          <w:p w14:paraId="7BA35CC5" w14:textId="77777777" w:rsidR="00721F3D" w:rsidRPr="00721F3D" w:rsidRDefault="00721F3D">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p>
        </w:tc>
      </w:tr>
      <w:tr w:rsidR="00721F3D" w:rsidRPr="00721F3D" w14:paraId="4A5A1D18" w14:textId="77777777" w:rsidTr="00721F3D">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3939" w:type="dxa"/>
            <w:hideMark/>
          </w:tcPr>
          <w:p w14:paraId="6B7D92DA" w14:textId="77777777" w:rsidR="00721F3D" w:rsidRPr="00721F3D" w:rsidRDefault="00721F3D">
            <w:r w:rsidRPr="00721F3D">
              <w:t>Change to "replay counters" (I can provide locations)</w:t>
            </w:r>
          </w:p>
        </w:tc>
        <w:tc>
          <w:tcPr>
            <w:tcW w:w="2645" w:type="dxa"/>
            <w:hideMark/>
          </w:tcPr>
          <w:p w14:paraId="4B77B4A6" w14:textId="77777777" w:rsidR="00721F3D" w:rsidRPr="00721F3D" w:rsidRDefault="00721F3D">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 xml:space="preserve">RSC" at 3338.32.  Spurious "number" in </w:t>
            </w:r>
            <w:r w:rsidRPr="00721F3D">
              <w:lastRenderedPageBreak/>
              <w:t>"RSC number" at 1956.20</w:t>
            </w:r>
          </w:p>
        </w:tc>
      </w:tr>
      <w:tr w:rsidR="00721F3D" w:rsidRPr="00721F3D" w14:paraId="29F67ACE" w14:textId="77777777" w:rsidTr="00721F3D">
        <w:trPr>
          <w:trHeight w:val="1275"/>
        </w:trPr>
        <w:tc>
          <w:tcPr>
            <w:tcW w:w="656" w:type="dxa"/>
            <w:hideMark/>
          </w:tcPr>
          <w:p w14:paraId="7E1B04EC" w14:textId="77777777" w:rsidR="00721F3D" w:rsidRPr="00721F3D" w:rsidRDefault="00721F3D" w:rsidP="00721F3D">
            <w:r w:rsidRPr="00721F3D">
              <w:lastRenderedPageBreak/>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3939" w:type="dxa"/>
            <w:hideMark/>
          </w:tcPr>
          <w:p w14:paraId="02C741CB" w14:textId="77777777" w:rsidR="00721F3D" w:rsidRPr="00721F3D" w:rsidRDefault="00721F3D">
            <w:r w:rsidRPr="00721F3D">
              <w:t>Specify that devices shall not set the beam tracking time limit to 0</w:t>
            </w:r>
          </w:p>
        </w:tc>
        <w:tc>
          <w:tcPr>
            <w:tcW w:w="2645" w:type="dxa"/>
            <w:hideMark/>
          </w:tcPr>
          <w:p w14:paraId="3133C417" w14:textId="77777777" w:rsidR="00721F3D" w:rsidRPr="00721F3D" w:rsidRDefault="00721F3D">
            <w:r w:rsidRPr="00721F3D">
              <w:t>Any objections?</w:t>
            </w:r>
          </w:p>
        </w:tc>
      </w:tr>
      <w:tr w:rsidR="00721F3D" w:rsidRPr="00721F3D" w14:paraId="058FBBB7" w14:textId="77777777" w:rsidTr="00721F3D">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3939" w:type="dxa"/>
            <w:hideMark/>
          </w:tcPr>
          <w:p w14:paraId="33D45E5C" w14:textId="77777777" w:rsidR="00721F3D" w:rsidRPr="00721F3D" w:rsidRDefault="00721F3D">
            <w:r w:rsidRPr="00721F3D">
              <w:t>Refer to a number of beacon intervals instead</w:t>
            </w:r>
          </w:p>
        </w:tc>
        <w:tc>
          <w:tcPr>
            <w:tcW w:w="2645" w:type="dxa"/>
            <w:hideMark/>
          </w:tcPr>
          <w:p w14:paraId="7534CC54" w14:textId="77777777" w:rsidR="00721F3D" w:rsidRPr="00721F3D" w:rsidRDefault="00721F3D">
            <w:r w:rsidRPr="00721F3D">
              <w:t>Maybe reject based on "a series of TBTTs" in 11.1.3.2?</w:t>
            </w:r>
          </w:p>
        </w:tc>
      </w:tr>
      <w:tr w:rsidR="00721F3D" w:rsidRPr="00721F3D" w14:paraId="64362BFC" w14:textId="77777777" w:rsidTr="00721F3D">
        <w:trPr>
          <w:trHeight w:val="1785"/>
        </w:trPr>
        <w:tc>
          <w:tcPr>
            <w:tcW w:w="656" w:type="dxa"/>
            <w:hideMark/>
          </w:tcPr>
          <w:p w14:paraId="7620FF12" w14:textId="77777777" w:rsidR="00721F3D" w:rsidRPr="00721F3D" w:rsidRDefault="00721F3D" w:rsidP="00721F3D">
            <w:r w:rsidRPr="00721F3D">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3939" w:type="dxa"/>
            <w:hideMark/>
          </w:tcPr>
          <w:p w14:paraId="60A85BF3" w14:textId="77777777" w:rsidR="00721F3D" w:rsidRPr="00721F3D" w:rsidRDefault="00721F3D">
            <w:r w:rsidRPr="00721F3D">
              <w:t>Remove any "field" subclause that is only used in one element/frame, and move it to that element/frame's subclause</w:t>
            </w:r>
          </w:p>
        </w:tc>
        <w:tc>
          <w:tcPr>
            <w:tcW w:w="2645" w:type="dxa"/>
            <w:hideMark/>
          </w:tcPr>
          <w:p w14:paraId="35DC6C5E" w14:textId="77777777" w:rsidR="00721F3D" w:rsidRPr="00721F3D" w:rsidRDefault="00721F3D">
            <w:r w:rsidRPr="00721F3D">
              <w:t>E.g. DELBA Parameter Set, Originator Preferred MCS, SM Power Control, Sync Control</w:t>
            </w:r>
          </w:p>
        </w:tc>
      </w:tr>
      <w:tr w:rsidR="00721F3D" w:rsidRPr="00721F3D" w14:paraId="73BBBA77" w14:textId="77777777" w:rsidTr="00721F3D">
        <w:trPr>
          <w:trHeight w:val="4080"/>
        </w:trPr>
        <w:tc>
          <w:tcPr>
            <w:tcW w:w="656" w:type="dxa"/>
            <w:hideMark/>
          </w:tcPr>
          <w:p w14:paraId="0D425A96" w14:textId="77777777" w:rsidR="00721F3D" w:rsidRPr="00721F3D" w:rsidRDefault="00721F3D" w:rsidP="00721F3D">
            <w:r w:rsidRPr="00721F3D">
              <w:lastRenderedPageBreak/>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939" w:type="dxa"/>
            <w:hideMark/>
          </w:tcPr>
          <w:p w14:paraId="6F4BE41A" w14:textId="77777777" w:rsidR="00721F3D" w:rsidRPr="00721F3D" w:rsidRDefault="00721F3D">
            <w:r w:rsidRPr="00721F3D">
              <w:t>Change "transient key" to "temporal key" throughout (I can provide locations)</w:t>
            </w:r>
          </w:p>
        </w:tc>
        <w:tc>
          <w:tcPr>
            <w:tcW w:w="2645" w:type="dxa"/>
            <w:hideMark/>
          </w:tcPr>
          <w:p w14:paraId="4D7A9BE7" w14:textId="77777777" w:rsidR="00721F3D" w:rsidRPr="00721F3D" w:rsidRDefault="00721F3D">
            <w:r w:rsidRPr="00721F3D">
              <w:t>Any objections?  ~20 instances</w:t>
            </w:r>
          </w:p>
        </w:tc>
      </w:tr>
      <w:tr w:rsidR="00721F3D" w:rsidRPr="00721F3D" w14:paraId="18EEBDE6" w14:textId="77777777" w:rsidTr="00721F3D">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939"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2645" w:type="dxa"/>
            <w:hideMark/>
          </w:tcPr>
          <w:p w14:paraId="386F17BF" w14:textId="77777777" w:rsidR="00721F3D" w:rsidRPr="00721F3D" w:rsidRDefault="00721F3D">
            <w:r w:rsidRPr="00721F3D">
              <w:t>Any objections?  Or should coverage classes be deprecated?</w:t>
            </w:r>
          </w:p>
        </w:tc>
      </w:tr>
      <w:tr w:rsidR="00721F3D" w:rsidRPr="00721F3D" w14:paraId="1155AD27" w14:textId="77777777" w:rsidTr="00721F3D">
        <w:trPr>
          <w:trHeight w:val="1530"/>
        </w:trPr>
        <w:tc>
          <w:tcPr>
            <w:tcW w:w="656" w:type="dxa"/>
            <w:hideMark/>
          </w:tcPr>
          <w:p w14:paraId="19F7ED49" w14:textId="77777777" w:rsidR="00721F3D" w:rsidRPr="00721F3D" w:rsidRDefault="00721F3D" w:rsidP="00721F3D">
            <w:r w:rsidRPr="00721F3D">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3939" w:type="dxa"/>
            <w:hideMark/>
          </w:tcPr>
          <w:p w14:paraId="5B8F33E1" w14:textId="77777777" w:rsidR="00721F3D" w:rsidRPr="00721F3D" w:rsidRDefault="00721F3D">
            <w:r w:rsidRPr="00721F3D">
              <w:t>Delete "entire " throughout (5x -- I can provide locations)</w:t>
            </w:r>
          </w:p>
        </w:tc>
        <w:tc>
          <w:tcPr>
            <w:tcW w:w="2645"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721F3D">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3939"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2645" w:type="dxa"/>
            <w:hideMark/>
          </w:tcPr>
          <w:p w14:paraId="12C10B49" w14:textId="77777777" w:rsidR="00721F3D" w:rsidRPr="00721F3D" w:rsidRDefault="00721F3D">
            <w:r w:rsidRPr="00721F3D">
              <w:t>Any objections?  Some reflector discussion</w:t>
            </w:r>
          </w:p>
        </w:tc>
      </w:tr>
      <w:tr w:rsidR="00721F3D" w:rsidRPr="00721F3D" w14:paraId="0CC389FE" w14:textId="77777777" w:rsidTr="00721F3D">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3939" w:type="dxa"/>
            <w:hideMark/>
          </w:tcPr>
          <w:p w14:paraId="048497CE" w14:textId="77777777" w:rsidR="00721F3D" w:rsidRPr="00721F3D" w:rsidRDefault="00721F3D">
            <w:r w:rsidRPr="00721F3D">
              <w:t>Change "may" to "might" in all of the following instances:</w:t>
            </w:r>
            <w:r w:rsidRPr="00721F3D">
              <w:br/>
              <w:t>If, for example,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The alternate destination may be an</w:t>
            </w:r>
            <w:r w:rsidRPr="00721F3D">
              <w:br/>
              <w:t>internet address on an Ethernet adapter, for example, to be used when the</w:t>
            </w:r>
            <w:r w:rsidRPr="00721F3D">
              <w:br/>
              <w:t>wireless link to the requesting entity is unavailable or unreliable."</w:t>
            </w:r>
            <w:r w:rsidRPr="00721F3D">
              <w:br/>
              <w:t>Also:</w:t>
            </w:r>
            <w:r w:rsidRPr="00721F3D">
              <w:br/>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t>A mesh STA may use group addressed or individually addressed Mesh Data or QoS Null frames to change</w:t>
            </w:r>
            <w:r w:rsidRPr="00721F3D">
              <w:br/>
              <w:t>its mesh power management mode to a higher activity level, for example;</w:t>
            </w:r>
          </w:p>
        </w:tc>
        <w:tc>
          <w:tcPr>
            <w:tcW w:w="2645"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721F3D">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3939"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2645" w:type="dxa"/>
            <w:hideMark/>
          </w:tcPr>
          <w:p w14:paraId="6494591B" w14:textId="77777777" w:rsidR="00721F3D" w:rsidRPr="00721F3D" w:rsidRDefault="00721F3D">
            <w:r w:rsidRPr="00721F3D">
              <w:t>Any objections?  ~10 instances</w:t>
            </w:r>
          </w:p>
        </w:tc>
      </w:tr>
      <w:tr w:rsidR="00721F3D" w:rsidRPr="00721F3D" w14:paraId="2255CD3B" w14:textId="77777777" w:rsidTr="00721F3D">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3939" w:type="dxa"/>
            <w:hideMark/>
          </w:tcPr>
          <w:p w14:paraId="07E32A73" w14:textId="77777777" w:rsidR="00721F3D" w:rsidRPr="00721F3D" w:rsidRDefault="00721F3D">
            <w:r w:rsidRPr="00721F3D">
              <w:t>Get a DMG SME to clarify</w:t>
            </w:r>
          </w:p>
        </w:tc>
        <w:tc>
          <w:tcPr>
            <w:tcW w:w="2645" w:type="dxa"/>
            <w:hideMark/>
          </w:tcPr>
          <w:p w14:paraId="30E02770" w14:textId="77777777" w:rsidR="00721F3D" w:rsidRPr="00721F3D" w:rsidRDefault="00721F3D">
            <w:r w:rsidRPr="00721F3D">
              <w:t>Any objections?  See also 1720</w:t>
            </w:r>
          </w:p>
        </w:tc>
      </w:tr>
      <w:tr w:rsidR="00721F3D" w:rsidRPr="00721F3D" w14:paraId="56E662A3" w14:textId="77777777" w:rsidTr="00721F3D">
        <w:trPr>
          <w:trHeight w:val="1785"/>
        </w:trPr>
        <w:tc>
          <w:tcPr>
            <w:tcW w:w="656" w:type="dxa"/>
            <w:hideMark/>
          </w:tcPr>
          <w:p w14:paraId="50AF063B" w14:textId="77777777" w:rsidR="00721F3D" w:rsidRPr="00721F3D" w:rsidRDefault="00721F3D" w:rsidP="00721F3D">
            <w:r w:rsidRPr="00721F3D">
              <w:t>1927</w:t>
            </w:r>
          </w:p>
        </w:tc>
        <w:tc>
          <w:tcPr>
            <w:tcW w:w="931" w:type="dxa"/>
            <w:hideMark/>
          </w:tcPr>
          <w:p w14:paraId="658EEF4E" w14:textId="77777777" w:rsidR="00721F3D" w:rsidRPr="00721F3D" w:rsidRDefault="00721F3D" w:rsidP="00721F3D"/>
        </w:tc>
        <w:tc>
          <w:tcPr>
            <w:tcW w:w="644" w:type="dxa"/>
            <w:hideMark/>
          </w:tcPr>
          <w:p w14:paraId="377F766D" w14:textId="77777777" w:rsidR="00721F3D" w:rsidRPr="00721F3D" w:rsidRDefault="00721F3D"/>
        </w:tc>
        <w:tc>
          <w:tcPr>
            <w:tcW w:w="852" w:type="dxa"/>
            <w:hideMark/>
          </w:tcPr>
          <w:p w14:paraId="2FEF0D70" w14:textId="77777777" w:rsidR="00721F3D" w:rsidRPr="00721F3D" w:rsidRDefault="00721F3D"/>
        </w:tc>
        <w:tc>
          <w:tcPr>
            <w:tcW w:w="3321" w:type="dxa"/>
            <w:hideMark/>
          </w:tcPr>
          <w:p w14:paraId="00E3535D" w14:textId="77777777" w:rsidR="00721F3D" w:rsidRPr="00721F3D" w:rsidRDefault="00721F3D">
            <w:r w:rsidRPr="00721F3D">
              <w:t>The SCRAMBLER_INITIAL_VALUE is not the initial value of the scrambler, it's the value in the SERVICE field after scrambling</w:t>
            </w:r>
          </w:p>
        </w:tc>
        <w:tc>
          <w:tcPr>
            <w:tcW w:w="3939" w:type="dxa"/>
            <w:hideMark/>
          </w:tcPr>
          <w:p w14:paraId="2C01C9D0" w14:textId="77777777" w:rsidR="00721F3D" w:rsidRPr="00721F3D" w:rsidRDefault="00721F3D">
            <w:r w:rsidRPr="00721F3D">
              <w:t>Change "SCRAMBLER_INITIAL_VALUE" to "SCRAMBLER_SCRAMBLED_SERVICE_VALUE" throughout (I can provide locations)</w:t>
            </w:r>
          </w:p>
        </w:tc>
        <w:tc>
          <w:tcPr>
            <w:tcW w:w="2645" w:type="dxa"/>
            <w:hideMark/>
          </w:tcPr>
          <w:p w14:paraId="5BA7FECA" w14:textId="77777777" w:rsidR="00721F3D" w:rsidRPr="00721F3D" w:rsidRDefault="00721F3D">
            <w:r w:rsidRPr="00721F3D">
              <w:t>Any objections?</w:t>
            </w:r>
          </w:p>
        </w:tc>
      </w:tr>
      <w:tr w:rsidR="00721F3D" w:rsidRPr="00721F3D" w14:paraId="2F2C63B6" w14:textId="77777777" w:rsidTr="00721F3D">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3939"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2645" w:type="dxa"/>
            <w:hideMark/>
          </w:tcPr>
          <w:p w14:paraId="3180A450" w14:textId="77777777" w:rsidR="00721F3D" w:rsidRPr="00721F3D" w:rsidRDefault="00721F3D">
            <w:r w:rsidRPr="00721F3D">
              <w:t>Any objections?</w:t>
            </w:r>
          </w:p>
        </w:tc>
      </w:tr>
      <w:tr w:rsidR="00721F3D" w:rsidRPr="00721F3D" w14:paraId="70328EE4" w14:textId="77777777" w:rsidTr="00721F3D">
        <w:trPr>
          <w:trHeight w:val="1785"/>
        </w:trPr>
        <w:tc>
          <w:tcPr>
            <w:tcW w:w="656" w:type="dxa"/>
            <w:hideMark/>
          </w:tcPr>
          <w:p w14:paraId="54F9FE01" w14:textId="77777777" w:rsidR="00721F3D" w:rsidRPr="00721F3D" w:rsidRDefault="00721F3D" w:rsidP="00721F3D">
            <w:r w:rsidRPr="00721F3D">
              <w:t>1996</w:t>
            </w:r>
          </w:p>
        </w:tc>
        <w:tc>
          <w:tcPr>
            <w:tcW w:w="931" w:type="dxa"/>
            <w:hideMark/>
          </w:tcPr>
          <w:p w14:paraId="159251BF" w14:textId="77777777" w:rsidR="00721F3D" w:rsidRPr="00721F3D" w:rsidRDefault="00721F3D" w:rsidP="00721F3D"/>
        </w:tc>
        <w:tc>
          <w:tcPr>
            <w:tcW w:w="644" w:type="dxa"/>
            <w:hideMark/>
          </w:tcPr>
          <w:p w14:paraId="2956B6A6" w14:textId="77777777" w:rsidR="00721F3D" w:rsidRPr="00721F3D" w:rsidRDefault="00721F3D"/>
        </w:tc>
        <w:tc>
          <w:tcPr>
            <w:tcW w:w="852" w:type="dxa"/>
            <w:hideMark/>
          </w:tcPr>
          <w:p w14:paraId="7EA9C2DC" w14:textId="77777777" w:rsidR="00721F3D" w:rsidRPr="00721F3D" w:rsidRDefault="00721F3D"/>
        </w:tc>
        <w:tc>
          <w:tcPr>
            <w:tcW w:w="3321" w:type="dxa"/>
            <w:hideMark/>
          </w:tcPr>
          <w:p w14:paraId="51A579D7" w14:textId="77777777" w:rsidR="00721F3D" w:rsidRPr="00721F3D" w:rsidRDefault="00721F3D">
            <w:r w:rsidRPr="00721F3D">
              <w:t>"A-MSDU frame" is not clear</w:t>
            </w:r>
          </w:p>
        </w:tc>
        <w:tc>
          <w:tcPr>
            <w:tcW w:w="3939" w:type="dxa"/>
            <w:hideMark/>
          </w:tcPr>
          <w:p w14:paraId="54401A20" w14:textId="77777777" w:rsidR="00721F3D" w:rsidRPr="00721F3D" w:rsidRDefault="00721F3D">
            <w:r w:rsidRPr="00721F3D">
              <w:t>Change each of the ~12 instances to "MPDU that contains an A-MSDU" (I can provide locations)</w:t>
            </w:r>
          </w:p>
        </w:tc>
        <w:tc>
          <w:tcPr>
            <w:tcW w:w="2645" w:type="dxa"/>
            <w:hideMark/>
          </w:tcPr>
          <w:p w14:paraId="3A37227B" w14:textId="77777777" w:rsidR="00721F3D" w:rsidRPr="00721F3D" w:rsidRDefault="00721F3D">
            <w:r w:rsidRPr="00721F3D">
              <w:t>Any objections?  E.g. 2913.54 "A-MSDU subframes within an individually addressed A-</w:t>
            </w:r>
            <w:r w:rsidRPr="00721F3D">
              <w:lastRenderedPageBreak/>
              <w:t>MSDU frame", 5561.42 "an acknowledged A-MSDU frame"</w:t>
            </w:r>
          </w:p>
        </w:tc>
      </w:tr>
      <w:tr w:rsidR="00721F3D" w:rsidRPr="00721F3D" w14:paraId="741995C2" w14:textId="77777777" w:rsidTr="00721F3D">
        <w:trPr>
          <w:trHeight w:val="2805"/>
        </w:trPr>
        <w:tc>
          <w:tcPr>
            <w:tcW w:w="656" w:type="dxa"/>
            <w:hideMark/>
          </w:tcPr>
          <w:p w14:paraId="5EA0A23C" w14:textId="77777777" w:rsidR="00721F3D" w:rsidRPr="00721F3D" w:rsidRDefault="00721F3D" w:rsidP="00721F3D">
            <w:r w:rsidRPr="00721F3D">
              <w:lastRenderedPageBreak/>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3939" w:type="dxa"/>
            <w:hideMark/>
          </w:tcPr>
          <w:p w14:paraId="0535FED0" w14:textId="77777777" w:rsidR="00721F3D" w:rsidRPr="00721F3D" w:rsidRDefault="00721F3D">
            <w:r w:rsidRPr="00721F3D">
              <w:t>Change each instance to "individually addressed MPDU containing an A-MSDU" (I can provide locations)</w:t>
            </w:r>
          </w:p>
        </w:tc>
        <w:tc>
          <w:tcPr>
            <w:tcW w:w="2645" w:type="dxa"/>
            <w:hideMark/>
          </w:tcPr>
          <w:p w14:paraId="037D2C4F" w14:textId="77777777" w:rsidR="00721F3D" w:rsidRPr="00721F3D" w:rsidRDefault="00721F3D">
            <w:r w:rsidRPr="00721F3D">
              <w:t>Any objections?  E.g. 913.30 "the</w:t>
            </w:r>
            <w:r w:rsidRPr="00721F3D">
              <w:br w:type="page"/>
              <w:t>sequence number of the corresponding individually addressed A-MSDUs"</w:t>
            </w:r>
          </w:p>
        </w:tc>
      </w:tr>
      <w:tr w:rsidR="00721F3D" w:rsidRPr="00721F3D" w14:paraId="67DE901B" w14:textId="77777777" w:rsidTr="00721F3D">
        <w:trPr>
          <w:trHeight w:val="2040"/>
        </w:trPr>
        <w:tc>
          <w:tcPr>
            <w:tcW w:w="656" w:type="dxa"/>
            <w:hideMark/>
          </w:tcPr>
          <w:p w14:paraId="1493231F" w14:textId="77777777" w:rsidR="00721F3D" w:rsidRPr="00721F3D" w:rsidRDefault="00721F3D" w:rsidP="00721F3D">
            <w:r w:rsidRPr="00721F3D">
              <w:t>2048</w:t>
            </w:r>
          </w:p>
        </w:tc>
        <w:tc>
          <w:tcPr>
            <w:tcW w:w="931" w:type="dxa"/>
            <w:hideMark/>
          </w:tcPr>
          <w:p w14:paraId="6BB7289C" w14:textId="77777777" w:rsidR="00721F3D" w:rsidRPr="00721F3D" w:rsidRDefault="00721F3D" w:rsidP="00721F3D"/>
        </w:tc>
        <w:tc>
          <w:tcPr>
            <w:tcW w:w="644" w:type="dxa"/>
            <w:hideMark/>
          </w:tcPr>
          <w:p w14:paraId="6C9DEC65" w14:textId="77777777" w:rsidR="00721F3D" w:rsidRPr="00721F3D" w:rsidRDefault="00721F3D"/>
        </w:tc>
        <w:tc>
          <w:tcPr>
            <w:tcW w:w="852" w:type="dxa"/>
            <w:hideMark/>
          </w:tcPr>
          <w:p w14:paraId="0182C51F" w14:textId="77777777" w:rsidR="00721F3D" w:rsidRPr="00721F3D" w:rsidRDefault="00721F3D"/>
        </w:tc>
        <w:tc>
          <w:tcPr>
            <w:tcW w:w="3321" w:type="dxa"/>
            <w:hideMark/>
          </w:tcPr>
          <w:p w14:paraId="10D0F56E" w14:textId="77777777" w:rsidR="00721F3D" w:rsidRPr="00721F3D" w:rsidRDefault="00721F3D">
            <w:r w:rsidRPr="00721F3D">
              <w:t>The claimed distinction between "collocated" and "co-located" is a fantasy, and it is guaranteed to lead to immediate spec rot.  Alternatively, at least define the distinction in the spec.  (See CID 4800 in REVmd)</w:t>
            </w:r>
          </w:p>
        </w:tc>
        <w:tc>
          <w:tcPr>
            <w:tcW w:w="3939" w:type="dxa"/>
            <w:hideMark/>
          </w:tcPr>
          <w:p w14:paraId="3B643529" w14:textId="77777777" w:rsidR="00721F3D" w:rsidRPr="00721F3D" w:rsidRDefault="00721F3D">
            <w:r w:rsidRPr="00721F3D">
              <w:t>Change "co-located" (case-insensitively) to "collocated" (case-preservingly).  I can provide locations.  Also change "Colocated" to "Collocated" in C.3 (5286.14/28)</w:t>
            </w:r>
          </w:p>
        </w:tc>
        <w:tc>
          <w:tcPr>
            <w:tcW w:w="2645" w:type="dxa"/>
            <w:hideMark/>
          </w:tcPr>
          <w:p w14:paraId="0E582DB7" w14:textId="77777777" w:rsidR="00721F3D" w:rsidRPr="00721F3D" w:rsidRDefault="00721F3D">
            <w:r w:rsidRPr="00721F3D">
              <w:t>Any objections?  ~90 locations</w:t>
            </w:r>
          </w:p>
        </w:tc>
      </w:tr>
      <w:tr w:rsidR="00721F3D" w:rsidRPr="00721F3D" w14:paraId="1909BA40" w14:textId="77777777" w:rsidTr="00721F3D">
        <w:trPr>
          <w:trHeight w:val="3570"/>
        </w:trPr>
        <w:tc>
          <w:tcPr>
            <w:tcW w:w="656" w:type="dxa"/>
            <w:hideMark/>
          </w:tcPr>
          <w:p w14:paraId="604B58B6" w14:textId="77777777" w:rsidR="00721F3D" w:rsidRPr="00721F3D" w:rsidRDefault="00721F3D" w:rsidP="00721F3D">
            <w:r w:rsidRPr="00721F3D">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939"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2645" w:type="dxa"/>
            <w:hideMark/>
          </w:tcPr>
          <w:p w14:paraId="57EF7935" w14:textId="77777777" w:rsidR="00721F3D" w:rsidRPr="00721F3D" w:rsidRDefault="00721F3D">
            <w:r w:rsidRPr="00721F3D">
              <w:t>Any objections?</w:t>
            </w:r>
          </w:p>
        </w:tc>
      </w:tr>
      <w:tr w:rsidR="00721F3D" w:rsidRPr="00721F3D" w14:paraId="2B4ACF70" w14:textId="77777777" w:rsidTr="00721F3D">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3939" w:type="dxa"/>
            <w:hideMark/>
          </w:tcPr>
          <w:p w14:paraId="75FFBE8A" w14:textId="77777777" w:rsidR="00721F3D" w:rsidRPr="00721F3D" w:rsidRDefault="00721F3D">
            <w:r w:rsidRPr="00721F3D">
              <w:t>Rename TIM frames to TIM Broadcast frames (I can provide locations)</w:t>
            </w:r>
          </w:p>
        </w:tc>
        <w:tc>
          <w:tcPr>
            <w:tcW w:w="2645" w:type="dxa"/>
            <w:hideMark/>
          </w:tcPr>
          <w:p w14:paraId="6F3DA75F" w14:textId="77777777" w:rsidR="00721F3D" w:rsidRPr="00721F3D" w:rsidRDefault="00721F3D">
            <w:r w:rsidRPr="00721F3D">
              <w:t>Any objections?  ~80 instances</w:t>
            </w:r>
          </w:p>
        </w:tc>
      </w:tr>
      <w:tr w:rsidR="00721F3D" w:rsidRPr="00721F3D" w14:paraId="199142C2" w14:textId="77777777" w:rsidTr="00721F3D">
        <w:trPr>
          <w:trHeight w:val="5865"/>
        </w:trPr>
        <w:tc>
          <w:tcPr>
            <w:tcW w:w="656" w:type="dxa"/>
            <w:hideMark/>
          </w:tcPr>
          <w:p w14:paraId="7004D320" w14:textId="77777777" w:rsidR="00721F3D" w:rsidRPr="00721F3D" w:rsidRDefault="00721F3D" w:rsidP="00721F3D">
            <w:r w:rsidRPr="00721F3D">
              <w:lastRenderedPageBreak/>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3939" w:type="dxa"/>
            <w:hideMark/>
          </w:tcPr>
          <w:p w14:paraId="01370A64" w14:textId="77777777" w:rsidR="00721F3D" w:rsidRPr="00721F3D" w:rsidRDefault="00721F3D">
            <w:r w:rsidRPr="00721F3D">
              <w:t>Change "subfield" to "field" throughout (I can provide locations)</w:t>
            </w:r>
          </w:p>
        </w:tc>
        <w:tc>
          <w:tcPr>
            <w:tcW w:w="2645" w:type="dxa"/>
            <w:hideMark/>
          </w:tcPr>
          <w:p w14:paraId="37963C3A" w14:textId="77777777" w:rsidR="00721F3D" w:rsidRPr="00721F3D" w:rsidRDefault="00721F3D">
            <w:r w:rsidRPr="00721F3D">
              <w:t>Any objections?</w:t>
            </w:r>
          </w:p>
        </w:tc>
      </w:tr>
      <w:tr w:rsidR="00721F3D" w:rsidRPr="00721F3D" w14:paraId="1CEF297D" w14:textId="77777777" w:rsidTr="00721F3D">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3939"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2645" w:type="dxa"/>
            <w:hideMark/>
          </w:tcPr>
          <w:p w14:paraId="48BD3034" w14:textId="77777777" w:rsidR="00721F3D" w:rsidRPr="00721F3D" w:rsidRDefault="00721F3D">
            <w:r w:rsidRPr="00721F3D">
              <w:t>Any objections?</w:t>
            </w:r>
          </w:p>
        </w:tc>
      </w:tr>
      <w:tr w:rsidR="00721F3D" w:rsidRPr="00721F3D" w14:paraId="4AAE5331" w14:textId="77777777" w:rsidTr="00721F3D">
        <w:trPr>
          <w:trHeight w:val="2040"/>
        </w:trPr>
        <w:tc>
          <w:tcPr>
            <w:tcW w:w="656" w:type="dxa"/>
            <w:hideMark/>
          </w:tcPr>
          <w:p w14:paraId="1E1757C9" w14:textId="77777777" w:rsidR="00721F3D" w:rsidRPr="00721F3D" w:rsidRDefault="00721F3D" w:rsidP="00721F3D">
            <w:r w:rsidRPr="00721F3D">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3939" w:type="dxa"/>
            <w:hideMark/>
          </w:tcPr>
          <w:p w14:paraId="38582571" w14:textId="77777777" w:rsidR="00721F3D" w:rsidRPr="00721F3D" w:rsidRDefault="00721F3D">
            <w:r w:rsidRPr="00721F3D">
              <w:t>Make the changes shown in 21/0816 (latest revision)</w:t>
            </w:r>
          </w:p>
        </w:tc>
        <w:tc>
          <w:tcPr>
            <w:tcW w:w="2645"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721F3D">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3939" w:type="dxa"/>
            <w:hideMark/>
          </w:tcPr>
          <w:p w14:paraId="5DB5F52E" w14:textId="77777777" w:rsidR="00721F3D" w:rsidRPr="00721F3D" w:rsidRDefault="00721F3D">
            <w:r w:rsidRPr="00721F3D">
              <w:t>Rename to "Channel Center Index Segment 0"</w:t>
            </w:r>
          </w:p>
        </w:tc>
        <w:tc>
          <w:tcPr>
            <w:tcW w:w="2645" w:type="dxa"/>
            <w:hideMark/>
          </w:tcPr>
          <w:p w14:paraId="288BDBE0" w14:textId="77777777" w:rsidR="00721F3D" w:rsidRPr="00721F3D" w:rsidRDefault="00721F3D">
            <w:r w:rsidRPr="00721F3D">
              <w:t>Any objections?  Alternatively, have a NOTE somewhere to say it's an index not a frequency?</w:t>
            </w:r>
          </w:p>
        </w:tc>
      </w:tr>
      <w:tr w:rsidR="00721F3D" w:rsidRPr="00721F3D" w14:paraId="1EB7EA46" w14:textId="77777777" w:rsidTr="00721F3D">
        <w:trPr>
          <w:trHeight w:val="1785"/>
        </w:trPr>
        <w:tc>
          <w:tcPr>
            <w:tcW w:w="656" w:type="dxa"/>
            <w:hideMark/>
          </w:tcPr>
          <w:p w14:paraId="57246640" w14:textId="77777777" w:rsidR="00721F3D" w:rsidRPr="00721F3D" w:rsidRDefault="00721F3D" w:rsidP="00721F3D">
            <w:r w:rsidRPr="00721F3D">
              <w:lastRenderedPageBreak/>
              <w:t>2247</w:t>
            </w:r>
          </w:p>
        </w:tc>
        <w:tc>
          <w:tcPr>
            <w:tcW w:w="931" w:type="dxa"/>
            <w:hideMark/>
          </w:tcPr>
          <w:p w14:paraId="2A738E00" w14:textId="77777777" w:rsidR="00721F3D" w:rsidRPr="00721F3D" w:rsidRDefault="00721F3D" w:rsidP="00721F3D">
            <w:r w:rsidRPr="00721F3D">
              <w:t>4334.00</w:t>
            </w:r>
          </w:p>
        </w:tc>
        <w:tc>
          <w:tcPr>
            <w:tcW w:w="644" w:type="dxa"/>
            <w:hideMark/>
          </w:tcPr>
          <w:p w14:paraId="2E1B6D4B" w14:textId="77777777" w:rsidR="00721F3D" w:rsidRPr="00721F3D" w:rsidRDefault="00721F3D">
            <w:r w:rsidRPr="00721F3D">
              <w:t>12</w:t>
            </w:r>
          </w:p>
        </w:tc>
        <w:tc>
          <w:tcPr>
            <w:tcW w:w="852" w:type="dxa"/>
            <w:hideMark/>
          </w:tcPr>
          <w:p w14:paraId="6D3CA12C" w14:textId="77777777" w:rsidR="00721F3D" w:rsidRPr="00721F3D" w:rsidRDefault="00721F3D">
            <w:r w:rsidRPr="00721F3D">
              <w:t>27.3.4</w:t>
            </w:r>
          </w:p>
        </w:tc>
        <w:tc>
          <w:tcPr>
            <w:tcW w:w="3321" w:type="dxa"/>
            <w:hideMark/>
          </w:tcPr>
          <w:p w14:paraId="4A000766" w14:textId="77777777" w:rsidR="00721F3D" w:rsidRPr="00721F3D" w:rsidRDefault="00721F3D">
            <w:r w:rsidRPr="00721F3D">
              <w:t>In the legend for the figure there is no distinction between Rus that require 40MHz pre-HE modulated transmission, and Rus that require 80MHz pre-HE modulated transmissions</w:t>
            </w:r>
          </w:p>
        </w:tc>
        <w:tc>
          <w:tcPr>
            <w:tcW w:w="3939" w:type="dxa"/>
            <w:hideMark/>
          </w:tcPr>
          <w:p w14:paraId="7E28BBFA" w14:textId="77777777" w:rsidR="00721F3D" w:rsidRPr="00721F3D" w:rsidRDefault="00721F3D">
            <w:r w:rsidRPr="00721F3D">
              <w:t>Preferably use the dotted format used within the figure itself for the legend</w:t>
            </w:r>
          </w:p>
        </w:tc>
        <w:tc>
          <w:tcPr>
            <w:tcW w:w="2645" w:type="dxa"/>
            <w:hideMark/>
          </w:tcPr>
          <w:p w14:paraId="7BC0638C" w14:textId="77777777" w:rsidR="00721F3D" w:rsidRPr="00721F3D" w:rsidRDefault="00721F3D">
            <w:r w:rsidRPr="00721F3D">
              <w:t>Any objections?</w:t>
            </w:r>
          </w:p>
        </w:tc>
      </w:tr>
    </w:tbl>
    <w:p w14:paraId="13BF923C" w14:textId="54F28F9D" w:rsidR="00B11C5F" w:rsidRDefault="00B11C5F" w:rsidP="00B11C5F">
      <w:r>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1B0E5557" w14:textId="4ED308C2" w:rsidR="009F4C11" w:rsidRDefault="007361E4" w:rsidP="00F71535">
      <w:r>
        <w:lastRenderedPageBreak/>
        <w:t>TBD: 1989</w:t>
      </w:r>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k Rison" w:date="2022-02-18T16:33:00Z" w:initials="mgr">
    <w:p w14:paraId="582F14A0" w14:textId="0718D5EC" w:rsidR="00AF5ED6" w:rsidRDefault="00AF5ED6">
      <w:pPr>
        <w:pStyle w:val="CommentText"/>
      </w:pPr>
      <w:r>
        <w:rPr>
          <w:rStyle w:val="CommentReference"/>
        </w:rPr>
        <w:annotationRef/>
      </w:r>
      <w:r>
        <w:t xml:space="preserve">an SAE Authentication frame, specifically?  </w:t>
      </w:r>
      <w:r w:rsidR="00C00FAB">
        <w:t xml:space="preserve">Or even an SAE Commit message?  </w:t>
      </w:r>
      <w:r>
        <w:t>Ditto below</w:t>
      </w:r>
    </w:p>
  </w:comment>
  <w:comment w:id="1" w:author="Mark Rison" w:date="2022-02-18T10:21:00Z" w:initials="mgr">
    <w:p w14:paraId="1FA64D08" w14:textId="0BF3BD51" w:rsidR="00CB1AB4" w:rsidRDefault="00CB1AB4">
      <w:pPr>
        <w:pStyle w:val="CommentText"/>
      </w:pPr>
      <w:r>
        <w:rPr>
          <w:rStyle w:val="CommentReference"/>
        </w:rPr>
        <w:annotationRef/>
      </w:r>
      <w:r>
        <w:t>No Del event?</w:t>
      </w:r>
    </w:p>
  </w:comment>
  <w:comment w:id="3" w:author="Mark Rison" w:date="2022-02-17T15:44:00Z" w:initials="mgr">
    <w:p w14:paraId="68425748" w14:textId="01AF7F73" w:rsidR="006A5833" w:rsidRDefault="006A5833">
      <w:pPr>
        <w:pStyle w:val="CommentText"/>
      </w:pPr>
      <w:r>
        <w:rPr>
          <w:rStyle w:val="CommentReference"/>
        </w:rPr>
        <w:annotationRef/>
      </w:r>
      <w:r w:rsidR="00005A10">
        <w:t>Or “</w:t>
      </w:r>
      <w:r w:rsidR="00005A10" w:rsidRPr="006A5833">
        <w:t xml:space="preserve">If </w:t>
      </w:r>
      <w:r w:rsidR="00005A10" w:rsidRPr="006A5833">
        <w:rPr>
          <w:strike/>
        </w:rPr>
        <w:t xml:space="preserve">there is </w:t>
      </w:r>
      <w:r w:rsidR="00005A10" w:rsidRPr="006A5833">
        <w:t xml:space="preserve">no password identifier </w:t>
      </w:r>
      <w:r w:rsidR="00005A10">
        <w:rPr>
          <w:u w:val="single"/>
        </w:rPr>
        <w:t xml:space="preserve">is </w:t>
      </w:r>
      <w:r w:rsidR="00005A10" w:rsidRPr="006A5833">
        <w:t>present or if a password is</w:t>
      </w:r>
      <w:r w:rsidR="00005A10">
        <w:t xml:space="preserve"> </w:t>
      </w:r>
      <w:r w:rsidR="00005A10" w:rsidRPr="006A5833">
        <w:t>associated with th</w:t>
      </w:r>
      <w:r w:rsidR="00005A10" w:rsidRPr="006A5833">
        <w:rPr>
          <w:strike/>
        </w:rPr>
        <w:t>at</w:t>
      </w:r>
      <w:r w:rsidR="00005A10">
        <w:rPr>
          <w:u w:val="single"/>
        </w:rPr>
        <w:t>e</w:t>
      </w:r>
      <w:r w:rsidR="00005A10" w:rsidRPr="006A5833">
        <w:t xml:space="preserve"> identifier</w:t>
      </w:r>
      <w:r w:rsidR="00005A10">
        <w:t>”?</w:t>
      </w:r>
    </w:p>
  </w:comment>
  <w:comment w:id="4" w:author="Mark Rison" w:date="2022-02-18T16:37:00Z" w:initials="mgr">
    <w:p w14:paraId="33830FBD" w14:textId="1619C4CF" w:rsidR="00344EC7" w:rsidRDefault="00344EC7">
      <w:pPr>
        <w:pStyle w:val="CommentText"/>
      </w:pPr>
      <w:r>
        <w:rPr>
          <w:rStyle w:val="CommentReference"/>
        </w:rPr>
        <w:annotationRef/>
      </w:r>
      <w:r>
        <w:t>+during the current SAE session</w:t>
      </w:r>
      <w:r w:rsidR="00B82689">
        <w:t>?</w:t>
      </w:r>
    </w:p>
  </w:comment>
  <w:comment w:id="5" w:author="Mark Rison" w:date="2022-02-17T19:44:00Z" w:initials="mgr">
    <w:p w14:paraId="6F366EA8" w14:textId="5FE999C7" w:rsidR="009A6936" w:rsidRDefault="009A6936">
      <w:pPr>
        <w:pStyle w:val="CommentText"/>
      </w:pPr>
      <w:r>
        <w:rPr>
          <w:rStyle w:val="CommentReference"/>
        </w:rPr>
        <w:annotationRef/>
      </w:r>
      <w:r>
        <w:t>Is there a preferred term for this?</w:t>
      </w:r>
    </w:p>
  </w:comment>
  <w:comment w:id="6" w:author="Mark Rison [2]" w:date="2021-09-25T17:49:00Z" w:initials="MR">
    <w:p w14:paraId="3759BB93" w14:textId="77777777" w:rsidR="00B11C5F" w:rsidRDefault="00B11C5F" w:rsidP="00B11C5F">
      <w:pPr>
        <w:pStyle w:val="CommentText"/>
      </w:pPr>
      <w:r>
        <w:rPr>
          <w:rStyle w:val="CommentReference"/>
        </w:rPr>
        <w:annotationRef/>
      </w:r>
      <w:r>
        <w:t>or Action No Ack?</w:t>
      </w:r>
    </w:p>
  </w:comment>
  <w:comment w:id="7" w:author="Mark Rison [2]" w:date="2021-09-25T17:40:00Z" w:initials="MR">
    <w:p w14:paraId="087DBD97" w14:textId="77777777" w:rsidR="00B11C5F" w:rsidRDefault="00B11C5F" w:rsidP="00B11C5F">
      <w:pPr>
        <w:pStyle w:val="CommentText"/>
      </w:pPr>
      <w:r>
        <w:rPr>
          <w:rStyle w:val="CommentReference"/>
        </w:rPr>
        <w:annotationRef/>
      </w:r>
      <w:r>
        <w:t>or Action No Ack?</w:t>
      </w:r>
    </w:p>
  </w:comment>
  <w:comment w:id="8" w:author="Mark Rison [2]" w:date="2021-09-25T17:42:00Z" w:initials="MR">
    <w:p w14:paraId="5ADEEC65" w14:textId="77777777" w:rsidR="00B11C5F" w:rsidRDefault="00B11C5F" w:rsidP="00B11C5F">
      <w:pPr>
        <w:pStyle w:val="CommentText"/>
      </w:pPr>
      <w:r>
        <w:rPr>
          <w:rStyle w:val="CommentReference"/>
        </w:rPr>
        <w:annotationRef/>
      </w:r>
      <w:r>
        <w:t>or Action No Ack?</w:t>
      </w:r>
    </w:p>
  </w:comment>
  <w:comment w:id="9" w:author="Mark Rison" w:date="2022-03-09T09:43:00Z" w:initials="mgr">
    <w:p w14:paraId="1CE515C3" w14:textId="44262C26" w:rsidR="000B2CCB" w:rsidRDefault="000B2CCB">
      <w:pPr>
        <w:pStyle w:val="CommentText"/>
      </w:pPr>
      <w:r>
        <w:rPr>
          <w:rStyle w:val="CommentReference"/>
        </w:rPr>
        <w:annotationRef/>
      </w:r>
      <w:r>
        <w:t>See 255.40</w:t>
      </w:r>
    </w:p>
  </w:comment>
  <w:comment w:id="10" w:author="Mark Rison" w:date="2022-03-09T09:43:00Z" w:initials="mgr">
    <w:p w14:paraId="68050B45" w14:textId="77777777" w:rsidR="00F03E8E" w:rsidRDefault="00F03E8E" w:rsidP="00F03E8E">
      <w:pPr>
        <w:pStyle w:val="CommentText"/>
      </w:pPr>
      <w:r>
        <w:rPr>
          <w:rStyle w:val="CommentReference"/>
        </w:rPr>
        <w:annotationRef/>
      </w:r>
      <w:r>
        <w:t>See 255.40</w:t>
      </w:r>
    </w:p>
  </w:comment>
  <w:comment w:id="11" w:author="Mark Rison" w:date="2022-03-09T11:09:00Z" w:initials="mgr">
    <w:p w14:paraId="56953171" w14:textId="3B3FA837" w:rsidR="00656F43" w:rsidRDefault="00656F43">
      <w:pPr>
        <w:pStyle w:val="CommentText"/>
      </w:pPr>
      <w:r>
        <w:rPr>
          <w:rStyle w:val="CommentReference"/>
        </w:rPr>
        <w:annotationRef/>
      </w:r>
      <w:r>
        <w:t>Hm, but DMG (C20), CDMG (C24) and CMMG (C25) don’t include a FORMAT parameter (S1G and WUR do, at least)</w:t>
      </w:r>
    </w:p>
  </w:comment>
  <w:comment w:id="12" w:author="Mark Rison" w:date="2022-03-10T12:54:00Z" w:initials="mgr">
    <w:p w14:paraId="5D954C35" w14:textId="0CC8EC12" w:rsidR="0012359D" w:rsidRDefault="0012359D">
      <w:pPr>
        <w:pStyle w:val="CommentText"/>
      </w:pPr>
      <w:r>
        <w:rPr>
          <w:rStyle w:val="CommentReference"/>
        </w:rPr>
        <w:annotationRef/>
      </w:r>
      <w:r>
        <w:t xml:space="preserve">Move this to </w:t>
      </w:r>
      <w:r w:rsidRPr="0012359D">
        <w:t>12.6.21 RSNA rekeying</w:t>
      </w:r>
      <w:r>
        <w:t>?</w:t>
      </w:r>
    </w:p>
  </w:comment>
  <w:comment w:id="13" w:author="Mark Rison" w:date="2022-03-10T12:54:00Z" w:initials="mgr">
    <w:p w14:paraId="57907EAD" w14:textId="77777777" w:rsidR="00EA5EC8" w:rsidRDefault="00EA5EC8" w:rsidP="00EA5EC8">
      <w:pPr>
        <w:pStyle w:val="CommentText"/>
      </w:pPr>
      <w:r>
        <w:rPr>
          <w:rStyle w:val="CommentReference"/>
        </w:rPr>
        <w:annotationRef/>
      </w:r>
      <w:r>
        <w:t xml:space="preserve">Move this to </w:t>
      </w:r>
      <w:r w:rsidRPr="0012359D">
        <w:t>12.6.21 RSNA rekeying</w:t>
      </w:r>
      <w:r>
        <w:t>?</w:t>
      </w:r>
    </w:p>
  </w:comment>
  <w:comment w:id="14" w:author="Mark Rison" w:date="2022-03-10T12:54:00Z" w:initials="mgr">
    <w:p w14:paraId="3F6A74C5" w14:textId="77777777" w:rsidR="00723451" w:rsidRDefault="00723451" w:rsidP="00723451">
      <w:pPr>
        <w:pStyle w:val="CommentText"/>
      </w:pPr>
      <w:r>
        <w:rPr>
          <w:rStyle w:val="CommentReference"/>
        </w:rPr>
        <w:annotationRef/>
      </w:r>
      <w:r>
        <w:t xml:space="preserve">Move this to </w:t>
      </w:r>
      <w:r w:rsidRPr="0012359D">
        <w:t>12.6.21 RSNA rekeying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F14A0" w15:done="0"/>
  <w15:commentEx w15:paraId="1FA64D08" w15:done="0"/>
  <w15:commentEx w15:paraId="68425748" w15:done="0"/>
  <w15:commentEx w15:paraId="33830FBD" w15:done="0"/>
  <w15:commentEx w15:paraId="6F366EA8" w15:done="0"/>
  <w15:commentEx w15:paraId="3759BB93" w15:done="0"/>
  <w15:commentEx w15:paraId="087DBD97" w15:done="0"/>
  <w15:commentEx w15:paraId="5ADEEC65" w15:done="0"/>
  <w15:commentEx w15:paraId="1CE515C3" w15:done="0"/>
  <w15:commentEx w15:paraId="68050B45" w15:done="0"/>
  <w15:commentEx w15:paraId="56953171" w15:done="0"/>
  <w15:commentEx w15:paraId="5D954C35" w15:done="0"/>
  <w15:commentEx w15:paraId="57907EAD" w15:done="0"/>
  <w15:commentEx w15:paraId="3F6A74C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1D21" w14:textId="77777777" w:rsidR="00936681" w:rsidRDefault="00936681">
      <w:r>
        <w:separator/>
      </w:r>
    </w:p>
  </w:endnote>
  <w:endnote w:type="continuationSeparator" w:id="0">
    <w:p w14:paraId="733E1FEA" w14:textId="77777777" w:rsidR="00936681" w:rsidRDefault="0093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21878230" w:rsidR="00B4196D" w:rsidRDefault="002B01FC">
    <w:pPr>
      <w:pStyle w:val="Footer"/>
      <w:tabs>
        <w:tab w:val="clear" w:pos="6480"/>
        <w:tab w:val="center" w:pos="4680"/>
        <w:tab w:val="right" w:pos="9360"/>
      </w:tabs>
    </w:pPr>
    <w:fldSimple w:instr=" SUBJECT  \* MERGEFORMAT ">
      <w:r w:rsidR="00B4196D">
        <w:t>Submission</w:t>
      </w:r>
    </w:fldSimple>
    <w:r w:rsidR="00B4196D">
      <w:tab/>
      <w:t xml:space="preserve">page </w:t>
    </w:r>
    <w:r w:rsidR="00B4196D">
      <w:fldChar w:fldCharType="begin"/>
    </w:r>
    <w:r w:rsidR="00B4196D">
      <w:instrText xml:space="preserve">page </w:instrText>
    </w:r>
    <w:r w:rsidR="00B4196D">
      <w:fldChar w:fldCharType="separate"/>
    </w:r>
    <w:r w:rsidR="003C00C9">
      <w:rPr>
        <w:noProof/>
      </w:rPr>
      <w:t>1</w:t>
    </w:r>
    <w:r w:rsidR="00B4196D">
      <w:rPr>
        <w:noProof/>
      </w:rPr>
      <w:fldChar w:fldCharType="end"/>
    </w:r>
    <w:r w:rsidR="00B4196D">
      <w:tab/>
    </w:r>
    <w:fldSimple w:instr=" COMMENTS  \* MERGEFORMAT ">
      <w:r w:rsidR="00B4196D">
        <w:t>Mark RISON (Samsung)</w:t>
      </w:r>
    </w:fldSimple>
  </w:p>
  <w:p w14:paraId="38435E49" w14:textId="77777777" w:rsidR="00B4196D" w:rsidRDefault="00B419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BA55" w14:textId="77777777" w:rsidR="00936681" w:rsidRDefault="00936681">
      <w:r>
        <w:separator/>
      </w:r>
    </w:p>
  </w:footnote>
  <w:footnote w:type="continuationSeparator" w:id="0">
    <w:p w14:paraId="778F32FB" w14:textId="77777777" w:rsidR="00936681" w:rsidRDefault="0093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D37C069" w:rsidR="00B4196D" w:rsidRDefault="002B01FC">
    <w:pPr>
      <w:pStyle w:val="Header"/>
      <w:tabs>
        <w:tab w:val="clear" w:pos="6480"/>
        <w:tab w:val="center" w:pos="4680"/>
        <w:tab w:val="right" w:pos="9360"/>
      </w:tabs>
    </w:pPr>
    <w:fldSimple w:instr=" KEYWORDS  \* MERGEFORMAT ">
      <w:r w:rsidR="009E5E48">
        <w:t>May 2022</w:t>
      </w:r>
    </w:fldSimple>
    <w:r w:rsidR="00B4196D">
      <w:tab/>
    </w:r>
    <w:r w:rsidR="00B4196D">
      <w:tab/>
    </w:r>
    <w:fldSimple w:instr=" TITLE  \* MERGEFORMAT ">
      <w:r w:rsidR="00837F71">
        <w:t>doc.: IEEE 802.11-22/0353r0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rson w15:author="Mark Rison [2]">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417C"/>
    <w:rsid w:val="00004507"/>
    <w:rsid w:val="000045C4"/>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321C"/>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7E"/>
    <w:rsid w:val="00057CAE"/>
    <w:rsid w:val="000604D2"/>
    <w:rsid w:val="00061229"/>
    <w:rsid w:val="000614B2"/>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791"/>
    <w:rsid w:val="000E77C5"/>
    <w:rsid w:val="000F07B2"/>
    <w:rsid w:val="000F0F65"/>
    <w:rsid w:val="000F0FFF"/>
    <w:rsid w:val="000F11B5"/>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272B"/>
    <w:rsid w:val="00102A13"/>
    <w:rsid w:val="00102B34"/>
    <w:rsid w:val="001039F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23AA"/>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4A3"/>
    <w:rsid w:val="00167858"/>
    <w:rsid w:val="001678C2"/>
    <w:rsid w:val="001678CB"/>
    <w:rsid w:val="00167931"/>
    <w:rsid w:val="00167E8E"/>
    <w:rsid w:val="0017056B"/>
    <w:rsid w:val="00170E70"/>
    <w:rsid w:val="001710B7"/>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583"/>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81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744"/>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67E64"/>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42DB"/>
    <w:rsid w:val="00294526"/>
    <w:rsid w:val="00294C24"/>
    <w:rsid w:val="002954A7"/>
    <w:rsid w:val="002957EE"/>
    <w:rsid w:val="00295CFF"/>
    <w:rsid w:val="00296475"/>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2816"/>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1FC"/>
    <w:rsid w:val="002B065D"/>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0FB1"/>
    <w:rsid w:val="0030199C"/>
    <w:rsid w:val="00302240"/>
    <w:rsid w:val="00302676"/>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2AA"/>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4EC7"/>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1C4"/>
    <w:rsid w:val="0038542A"/>
    <w:rsid w:val="00385668"/>
    <w:rsid w:val="00385B13"/>
    <w:rsid w:val="003873F3"/>
    <w:rsid w:val="00387E91"/>
    <w:rsid w:val="00387F84"/>
    <w:rsid w:val="00390A50"/>
    <w:rsid w:val="00390C5A"/>
    <w:rsid w:val="00390DE0"/>
    <w:rsid w:val="00390F83"/>
    <w:rsid w:val="00390F9B"/>
    <w:rsid w:val="0039139B"/>
    <w:rsid w:val="00391A8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4009"/>
    <w:rsid w:val="00434491"/>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3FA1"/>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743"/>
    <w:rsid w:val="004F212F"/>
    <w:rsid w:val="004F21CF"/>
    <w:rsid w:val="004F2CF4"/>
    <w:rsid w:val="004F3450"/>
    <w:rsid w:val="004F3597"/>
    <w:rsid w:val="004F48DA"/>
    <w:rsid w:val="004F5825"/>
    <w:rsid w:val="004F5952"/>
    <w:rsid w:val="004F60E4"/>
    <w:rsid w:val="004F60F5"/>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90D"/>
    <w:rsid w:val="00640E7E"/>
    <w:rsid w:val="006416BB"/>
    <w:rsid w:val="00641FE4"/>
    <w:rsid w:val="00642D3B"/>
    <w:rsid w:val="00642E40"/>
    <w:rsid w:val="006434C4"/>
    <w:rsid w:val="00643FF8"/>
    <w:rsid w:val="00644083"/>
    <w:rsid w:val="006443BF"/>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ED6"/>
    <w:rsid w:val="00656F43"/>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833"/>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1F3D"/>
    <w:rsid w:val="00722282"/>
    <w:rsid w:val="00723451"/>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BC9"/>
    <w:rsid w:val="00786C08"/>
    <w:rsid w:val="00786F31"/>
    <w:rsid w:val="007871E2"/>
    <w:rsid w:val="00787413"/>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E7"/>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6C3"/>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D6C"/>
    <w:rsid w:val="0085106D"/>
    <w:rsid w:val="0085159F"/>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C18"/>
    <w:rsid w:val="00865FE5"/>
    <w:rsid w:val="00866EB0"/>
    <w:rsid w:val="008679BB"/>
    <w:rsid w:val="00867BA0"/>
    <w:rsid w:val="0087036D"/>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ADD"/>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681"/>
    <w:rsid w:val="00936802"/>
    <w:rsid w:val="00936B06"/>
    <w:rsid w:val="00936B94"/>
    <w:rsid w:val="00937222"/>
    <w:rsid w:val="00937402"/>
    <w:rsid w:val="00937F31"/>
    <w:rsid w:val="0094029A"/>
    <w:rsid w:val="00940C39"/>
    <w:rsid w:val="00940DEE"/>
    <w:rsid w:val="00942A4A"/>
    <w:rsid w:val="00942C36"/>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076C"/>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5DD"/>
    <w:rsid w:val="009E46B1"/>
    <w:rsid w:val="009E4CA4"/>
    <w:rsid w:val="009E579C"/>
    <w:rsid w:val="009E5824"/>
    <w:rsid w:val="009E5A6D"/>
    <w:rsid w:val="009E5AF6"/>
    <w:rsid w:val="009E5E48"/>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12B"/>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2FF3"/>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741"/>
    <w:rsid w:val="00A64916"/>
    <w:rsid w:val="00A64B25"/>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5ED6"/>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6253"/>
    <w:rsid w:val="00B26DED"/>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96D"/>
    <w:rsid w:val="00B41B06"/>
    <w:rsid w:val="00B41C7F"/>
    <w:rsid w:val="00B41CE4"/>
    <w:rsid w:val="00B42733"/>
    <w:rsid w:val="00B427D1"/>
    <w:rsid w:val="00B43290"/>
    <w:rsid w:val="00B432B6"/>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93C"/>
    <w:rsid w:val="00B74B21"/>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1E81"/>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3C46"/>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2F2"/>
    <w:rsid w:val="00C45629"/>
    <w:rsid w:val="00C45D84"/>
    <w:rsid w:val="00C468B7"/>
    <w:rsid w:val="00C46F48"/>
    <w:rsid w:val="00C46FAF"/>
    <w:rsid w:val="00C470AB"/>
    <w:rsid w:val="00C476BB"/>
    <w:rsid w:val="00C50276"/>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AB4"/>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67B"/>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630"/>
    <w:rsid w:val="00D316E9"/>
    <w:rsid w:val="00D3278F"/>
    <w:rsid w:val="00D33389"/>
    <w:rsid w:val="00D33400"/>
    <w:rsid w:val="00D33E4C"/>
    <w:rsid w:val="00D348CE"/>
    <w:rsid w:val="00D35BBF"/>
    <w:rsid w:val="00D379AA"/>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381"/>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2C66"/>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859"/>
    <w:rsid w:val="00DD1DCB"/>
    <w:rsid w:val="00DD1EC4"/>
    <w:rsid w:val="00DD2545"/>
    <w:rsid w:val="00DD276B"/>
    <w:rsid w:val="00DD2A1B"/>
    <w:rsid w:val="00DD2E42"/>
    <w:rsid w:val="00DD312F"/>
    <w:rsid w:val="00DD3BE3"/>
    <w:rsid w:val="00DD43BD"/>
    <w:rsid w:val="00DD49E7"/>
    <w:rsid w:val="00DD4B44"/>
    <w:rsid w:val="00DD5686"/>
    <w:rsid w:val="00DD61F0"/>
    <w:rsid w:val="00DD6802"/>
    <w:rsid w:val="00DD68AC"/>
    <w:rsid w:val="00DD6C0B"/>
    <w:rsid w:val="00DD6F1A"/>
    <w:rsid w:val="00DD743F"/>
    <w:rsid w:val="00DD76C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DFA"/>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6E6"/>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5FD"/>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3E8E"/>
    <w:rsid w:val="00F04C25"/>
    <w:rsid w:val="00F0503B"/>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6ADE"/>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1535"/>
    <w:rsid w:val="00F729D2"/>
    <w:rsid w:val="00F73262"/>
    <w:rsid w:val="00F73615"/>
    <w:rsid w:val="00F74316"/>
    <w:rsid w:val="00F74323"/>
    <w:rsid w:val="00F75133"/>
    <w:rsid w:val="00F7542D"/>
    <w:rsid w:val="00F75CFE"/>
    <w:rsid w:val="00F75DB2"/>
    <w:rsid w:val="00F75EDA"/>
    <w:rsid w:val="00F761CB"/>
    <w:rsid w:val="00F76464"/>
    <w:rsid w:val="00F765A5"/>
    <w:rsid w:val="00F7665E"/>
    <w:rsid w:val="00F77292"/>
    <w:rsid w:val="00F77395"/>
    <w:rsid w:val="00F773C0"/>
    <w:rsid w:val="00F77BBA"/>
    <w:rsid w:val="00F77FA9"/>
    <w:rsid w:val="00F8004E"/>
    <w:rsid w:val="00F8005F"/>
    <w:rsid w:val="00F808D8"/>
    <w:rsid w:val="00F80B63"/>
    <w:rsid w:val="00F80BFF"/>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CA0F15E7-6A70-4F3A-8462-9B7DEDB2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F3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9DA91-148F-4258-8D32-DF6E5E66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3858</TotalTime>
  <Pages>39</Pages>
  <Words>9054</Words>
  <Characters>51612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doc.: IEEE 802.11-22/0353r0</vt:lpstr>
    </vt:vector>
  </TitlesOfParts>
  <Company>Some Company</Company>
  <LinksUpToDate>false</LinksUpToDate>
  <CharactersWithSpaces>60545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802.11-22/0353r0</dc:title>
  <dc:subject>Submission</dc:subject>
  <dc:creator>Mark RISON</dc:creator>
  <cp:keywords>May 2022</cp:keywords>
  <dc:description/>
  <cp:lastModifiedBy>Mark Rison</cp:lastModifiedBy>
  <cp:revision>59</cp:revision>
  <cp:lastPrinted>2015-09-02T03:05:00Z</cp:lastPrinted>
  <dcterms:created xsi:type="dcterms:W3CDTF">2022-02-17T14:12:00Z</dcterms:created>
  <dcterms:modified xsi:type="dcterms:W3CDTF">2022-03-21T13:27:00Z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