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A71A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E5A05B2" w14:textId="77777777">
        <w:trPr>
          <w:trHeight w:val="485"/>
          <w:jc w:val="center"/>
        </w:trPr>
        <w:tc>
          <w:tcPr>
            <w:tcW w:w="9576" w:type="dxa"/>
            <w:gridSpan w:val="5"/>
            <w:vAlign w:val="center"/>
          </w:tcPr>
          <w:p w14:paraId="0CF5D787" w14:textId="420A391D" w:rsidR="00CA09B2" w:rsidRDefault="00B246EF">
            <w:pPr>
              <w:pStyle w:val="T2"/>
            </w:pPr>
            <w:r>
              <w:t>CID 1194 – LB258 802.11REVme on “</w:t>
            </w:r>
            <w:r w:rsidR="00304386">
              <w:t>De</w:t>
            </w:r>
            <w:r>
              <w:t>en</w:t>
            </w:r>
            <w:r w:rsidR="00304386">
              <w:t>a</w:t>
            </w:r>
            <w:r>
              <w:t xml:space="preserve">bled” </w:t>
            </w:r>
          </w:p>
        </w:tc>
      </w:tr>
      <w:tr w:rsidR="00CA09B2" w14:paraId="0EC11EE1" w14:textId="77777777">
        <w:trPr>
          <w:trHeight w:val="359"/>
          <w:jc w:val="center"/>
        </w:trPr>
        <w:tc>
          <w:tcPr>
            <w:tcW w:w="9576" w:type="dxa"/>
            <w:gridSpan w:val="5"/>
            <w:vAlign w:val="center"/>
          </w:tcPr>
          <w:p w14:paraId="6E996B95" w14:textId="3DE5F35D" w:rsidR="00CA09B2" w:rsidRDefault="00CA09B2">
            <w:pPr>
              <w:pStyle w:val="T2"/>
              <w:ind w:left="0"/>
              <w:rPr>
                <w:sz w:val="20"/>
              </w:rPr>
            </w:pPr>
            <w:r>
              <w:rPr>
                <w:sz w:val="20"/>
              </w:rPr>
              <w:t>Date:</w:t>
            </w:r>
            <w:r>
              <w:rPr>
                <w:b w:val="0"/>
                <w:sz w:val="20"/>
              </w:rPr>
              <w:t xml:space="preserve">  </w:t>
            </w:r>
            <w:r w:rsidR="00B246EF">
              <w:rPr>
                <w:b w:val="0"/>
                <w:sz w:val="20"/>
              </w:rPr>
              <w:t>2022</w:t>
            </w:r>
            <w:r>
              <w:rPr>
                <w:b w:val="0"/>
                <w:sz w:val="20"/>
              </w:rPr>
              <w:t>-</w:t>
            </w:r>
            <w:r w:rsidR="00B246EF">
              <w:rPr>
                <w:b w:val="0"/>
                <w:sz w:val="20"/>
              </w:rPr>
              <w:t>01</w:t>
            </w:r>
            <w:r>
              <w:rPr>
                <w:b w:val="0"/>
                <w:sz w:val="20"/>
              </w:rPr>
              <w:t>-</w:t>
            </w:r>
            <w:r w:rsidR="00B246EF">
              <w:rPr>
                <w:b w:val="0"/>
                <w:sz w:val="20"/>
              </w:rPr>
              <w:t>24</w:t>
            </w:r>
          </w:p>
        </w:tc>
      </w:tr>
      <w:tr w:rsidR="00CA09B2" w14:paraId="6AC56F33" w14:textId="77777777">
        <w:trPr>
          <w:cantSplit/>
          <w:jc w:val="center"/>
        </w:trPr>
        <w:tc>
          <w:tcPr>
            <w:tcW w:w="9576" w:type="dxa"/>
            <w:gridSpan w:val="5"/>
            <w:vAlign w:val="center"/>
          </w:tcPr>
          <w:p w14:paraId="21CA5902" w14:textId="77777777" w:rsidR="00CA09B2" w:rsidRDefault="00CA09B2">
            <w:pPr>
              <w:pStyle w:val="T2"/>
              <w:spacing w:after="0"/>
              <w:ind w:left="0" w:right="0"/>
              <w:jc w:val="left"/>
              <w:rPr>
                <w:sz w:val="20"/>
              </w:rPr>
            </w:pPr>
            <w:r>
              <w:rPr>
                <w:sz w:val="20"/>
              </w:rPr>
              <w:t>Author(s):</w:t>
            </w:r>
          </w:p>
        </w:tc>
      </w:tr>
      <w:tr w:rsidR="00CA09B2" w14:paraId="7E17E749" w14:textId="77777777">
        <w:trPr>
          <w:jc w:val="center"/>
        </w:trPr>
        <w:tc>
          <w:tcPr>
            <w:tcW w:w="1336" w:type="dxa"/>
            <w:vAlign w:val="center"/>
          </w:tcPr>
          <w:p w14:paraId="3347F0B0" w14:textId="77777777" w:rsidR="00CA09B2" w:rsidRDefault="00CA09B2">
            <w:pPr>
              <w:pStyle w:val="T2"/>
              <w:spacing w:after="0"/>
              <w:ind w:left="0" w:right="0"/>
              <w:jc w:val="left"/>
              <w:rPr>
                <w:sz w:val="20"/>
              </w:rPr>
            </w:pPr>
            <w:r>
              <w:rPr>
                <w:sz w:val="20"/>
              </w:rPr>
              <w:t>Name</w:t>
            </w:r>
          </w:p>
        </w:tc>
        <w:tc>
          <w:tcPr>
            <w:tcW w:w="2064" w:type="dxa"/>
            <w:vAlign w:val="center"/>
          </w:tcPr>
          <w:p w14:paraId="69E95ED6" w14:textId="77777777" w:rsidR="00CA09B2" w:rsidRDefault="0062440B">
            <w:pPr>
              <w:pStyle w:val="T2"/>
              <w:spacing w:after="0"/>
              <w:ind w:left="0" w:right="0"/>
              <w:jc w:val="left"/>
              <w:rPr>
                <w:sz w:val="20"/>
              </w:rPr>
            </w:pPr>
            <w:r>
              <w:rPr>
                <w:sz w:val="20"/>
              </w:rPr>
              <w:t>Affiliation</w:t>
            </w:r>
          </w:p>
        </w:tc>
        <w:tc>
          <w:tcPr>
            <w:tcW w:w="2814" w:type="dxa"/>
            <w:vAlign w:val="center"/>
          </w:tcPr>
          <w:p w14:paraId="38E81BD9" w14:textId="77777777" w:rsidR="00CA09B2" w:rsidRDefault="00CA09B2">
            <w:pPr>
              <w:pStyle w:val="T2"/>
              <w:spacing w:after="0"/>
              <w:ind w:left="0" w:right="0"/>
              <w:jc w:val="left"/>
              <w:rPr>
                <w:sz w:val="20"/>
              </w:rPr>
            </w:pPr>
            <w:r>
              <w:rPr>
                <w:sz w:val="20"/>
              </w:rPr>
              <w:t>Address</w:t>
            </w:r>
          </w:p>
        </w:tc>
        <w:tc>
          <w:tcPr>
            <w:tcW w:w="1715" w:type="dxa"/>
            <w:vAlign w:val="center"/>
          </w:tcPr>
          <w:p w14:paraId="3B812115" w14:textId="77777777" w:rsidR="00CA09B2" w:rsidRDefault="00CA09B2">
            <w:pPr>
              <w:pStyle w:val="T2"/>
              <w:spacing w:after="0"/>
              <w:ind w:left="0" w:right="0"/>
              <w:jc w:val="left"/>
              <w:rPr>
                <w:sz w:val="20"/>
              </w:rPr>
            </w:pPr>
            <w:r>
              <w:rPr>
                <w:sz w:val="20"/>
              </w:rPr>
              <w:t>Phone</w:t>
            </w:r>
          </w:p>
        </w:tc>
        <w:tc>
          <w:tcPr>
            <w:tcW w:w="1647" w:type="dxa"/>
            <w:vAlign w:val="center"/>
          </w:tcPr>
          <w:p w14:paraId="63DF06E2" w14:textId="77777777" w:rsidR="00CA09B2" w:rsidRDefault="00CA09B2">
            <w:pPr>
              <w:pStyle w:val="T2"/>
              <w:spacing w:after="0"/>
              <w:ind w:left="0" w:right="0"/>
              <w:jc w:val="left"/>
              <w:rPr>
                <w:sz w:val="20"/>
              </w:rPr>
            </w:pPr>
            <w:r>
              <w:rPr>
                <w:sz w:val="20"/>
              </w:rPr>
              <w:t>email</w:t>
            </w:r>
          </w:p>
        </w:tc>
      </w:tr>
      <w:tr w:rsidR="00CA09B2" w14:paraId="161A7CFE" w14:textId="77777777">
        <w:trPr>
          <w:jc w:val="center"/>
        </w:trPr>
        <w:tc>
          <w:tcPr>
            <w:tcW w:w="1336" w:type="dxa"/>
            <w:vAlign w:val="center"/>
          </w:tcPr>
          <w:p w14:paraId="7610DDE4" w14:textId="77777777" w:rsidR="00CA09B2" w:rsidRDefault="00CA09B2">
            <w:pPr>
              <w:pStyle w:val="T2"/>
              <w:spacing w:after="0"/>
              <w:ind w:left="0" w:right="0"/>
              <w:rPr>
                <w:b w:val="0"/>
                <w:sz w:val="20"/>
              </w:rPr>
            </w:pPr>
          </w:p>
        </w:tc>
        <w:tc>
          <w:tcPr>
            <w:tcW w:w="2064" w:type="dxa"/>
            <w:vAlign w:val="center"/>
          </w:tcPr>
          <w:p w14:paraId="001D7622" w14:textId="77777777" w:rsidR="00CA09B2" w:rsidRDefault="00CA09B2">
            <w:pPr>
              <w:pStyle w:val="T2"/>
              <w:spacing w:after="0"/>
              <w:ind w:left="0" w:right="0"/>
              <w:rPr>
                <w:b w:val="0"/>
                <w:sz w:val="20"/>
              </w:rPr>
            </w:pPr>
          </w:p>
        </w:tc>
        <w:tc>
          <w:tcPr>
            <w:tcW w:w="2814" w:type="dxa"/>
            <w:vAlign w:val="center"/>
          </w:tcPr>
          <w:p w14:paraId="0549A509" w14:textId="77777777" w:rsidR="00CA09B2" w:rsidRDefault="00CA09B2">
            <w:pPr>
              <w:pStyle w:val="T2"/>
              <w:spacing w:after="0"/>
              <w:ind w:left="0" w:right="0"/>
              <w:rPr>
                <w:b w:val="0"/>
                <w:sz w:val="20"/>
              </w:rPr>
            </w:pPr>
          </w:p>
        </w:tc>
        <w:tc>
          <w:tcPr>
            <w:tcW w:w="1715" w:type="dxa"/>
            <w:vAlign w:val="center"/>
          </w:tcPr>
          <w:p w14:paraId="754D03F6" w14:textId="77777777" w:rsidR="00CA09B2" w:rsidRDefault="00CA09B2">
            <w:pPr>
              <w:pStyle w:val="T2"/>
              <w:spacing w:after="0"/>
              <w:ind w:left="0" w:right="0"/>
              <w:rPr>
                <w:b w:val="0"/>
                <w:sz w:val="20"/>
              </w:rPr>
            </w:pPr>
          </w:p>
        </w:tc>
        <w:tc>
          <w:tcPr>
            <w:tcW w:w="1647" w:type="dxa"/>
            <w:vAlign w:val="center"/>
          </w:tcPr>
          <w:p w14:paraId="269DFDB3" w14:textId="77777777" w:rsidR="00CA09B2" w:rsidRDefault="00CA09B2">
            <w:pPr>
              <w:pStyle w:val="T2"/>
              <w:spacing w:after="0"/>
              <w:ind w:left="0" w:right="0"/>
              <w:rPr>
                <w:b w:val="0"/>
                <w:sz w:val="16"/>
              </w:rPr>
            </w:pPr>
          </w:p>
        </w:tc>
      </w:tr>
      <w:tr w:rsidR="00CA09B2" w14:paraId="139CD7A6" w14:textId="77777777">
        <w:trPr>
          <w:jc w:val="center"/>
        </w:trPr>
        <w:tc>
          <w:tcPr>
            <w:tcW w:w="1336" w:type="dxa"/>
            <w:vAlign w:val="center"/>
          </w:tcPr>
          <w:p w14:paraId="1139E242" w14:textId="77777777" w:rsidR="00CA09B2" w:rsidRDefault="00CA09B2">
            <w:pPr>
              <w:pStyle w:val="T2"/>
              <w:spacing w:after="0"/>
              <w:ind w:left="0" w:right="0"/>
              <w:rPr>
                <w:b w:val="0"/>
                <w:sz w:val="20"/>
              </w:rPr>
            </w:pPr>
          </w:p>
        </w:tc>
        <w:tc>
          <w:tcPr>
            <w:tcW w:w="2064" w:type="dxa"/>
            <w:vAlign w:val="center"/>
          </w:tcPr>
          <w:p w14:paraId="74A9CA7A" w14:textId="77777777" w:rsidR="00CA09B2" w:rsidRDefault="00CA09B2">
            <w:pPr>
              <w:pStyle w:val="T2"/>
              <w:spacing w:after="0"/>
              <w:ind w:left="0" w:right="0"/>
              <w:rPr>
                <w:b w:val="0"/>
                <w:sz w:val="20"/>
              </w:rPr>
            </w:pPr>
          </w:p>
        </w:tc>
        <w:tc>
          <w:tcPr>
            <w:tcW w:w="2814" w:type="dxa"/>
            <w:vAlign w:val="center"/>
          </w:tcPr>
          <w:p w14:paraId="30C9959E" w14:textId="77777777" w:rsidR="00CA09B2" w:rsidRDefault="00CA09B2">
            <w:pPr>
              <w:pStyle w:val="T2"/>
              <w:spacing w:after="0"/>
              <w:ind w:left="0" w:right="0"/>
              <w:rPr>
                <w:b w:val="0"/>
                <w:sz w:val="20"/>
              </w:rPr>
            </w:pPr>
          </w:p>
        </w:tc>
        <w:tc>
          <w:tcPr>
            <w:tcW w:w="1715" w:type="dxa"/>
            <w:vAlign w:val="center"/>
          </w:tcPr>
          <w:p w14:paraId="407DAC6F" w14:textId="77777777" w:rsidR="00CA09B2" w:rsidRDefault="00CA09B2">
            <w:pPr>
              <w:pStyle w:val="T2"/>
              <w:spacing w:after="0"/>
              <w:ind w:left="0" w:right="0"/>
              <w:rPr>
                <w:b w:val="0"/>
                <w:sz w:val="20"/>
              </w:rPr>
            </w:pPr>
          </w:p>
        </w:tc>
        <w:tc>
          <w:tcPr>
            <w:tcW w:w="1647" w:type="dxa"/>
            <w:vAlign w:val="center"/>
          </w:tcPr>
          <w:p w14:paraId="304CF697" w14:textId="77777777" w:rsidR="00CA09B2" w:rsidRDefault="00CA09B2">
            <w:pPr>
              <w:pStyle w:val="T2"/>
              <w:spacing w:after="0"/>
              <w:ind w:left="0" w:right="0"/>
              <w:rPr>
                <w:b w:val="0"/>
                <w:sz w:val="16"/>
              </w:rPr>
            </w:pPr>
          </w:p>
        </w:tc>
      </w:tr>
    </w:tbl>
    <w:p w14:paraId="0309B827" w14:textId="77AD3C11" w:rsidR="00CA09B2" w:rsidRDefault="000B78C2">
      <w:pPr>
        <w:pStyle w:val="T1"/>
        <w:spacing w:after="120"/>
        <w:rPr>
          <w:sz w:val="22"/>
        </w:rPr>
      </w:pPr>
      <w:r>
        <w:rPr>
          <w:noProof/>
        </w:rPr>
        <mc:AlternateContent>
          <mc:Choice Requires="wps">
            <w:drawing>
              <wp:anchor distT="0" distB="0" distL="114300" distR="114300" simplePos="0" relativeHeight="251657728" behindDoc="0" locked="0" layoutInCell="0" allowOverlap="1" wp14:anchorId="23EB86DA" wp14:editId="6CB85BF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C92E9E" w14:textId="77777777" w:rsidR="0029020B" w:rsidRDefault="0029020B">
                            <w:pPr>
                              <w:pStyle w:val="T1"/>
                              <w:spacing w:after="120"/>
                            </w:pPr>
                            <w:r>
                              <w:t>Abstract</w:t>
                            </w:r>
                          </w:p>
                          <w:p w14:paraId="4E0E490A" w14:textId="1CF34300" w:rsidR="0029020B" w:rsidRDefault="00B246EF">
                            <w:pPr>
                              <w:jc w:val="both"/>
                            </w:pPr>
                            <w:r>
                              <w:t xml:space="preserve">This </w:t>
                            </w:r>
                            <w:r w:rsidR="0029020B">
                              <w:t xml:space="preserve">document </w:t>
                            </w:r>
                            <w:r>
                              <w:t xml:space="preserve">provides discussion and proposes a way for CID 1194 from LB258.  This CID </w:t>
                            </w:r>
                            <w:r w:rsidR="00304386">
                              <w:t>addresses “</w:t>
                            </w:r>
                            <w:r w:rsidR="00304386" w:rsidRPr="00304386">
                              <w:t xml:space="preserve">"AUTHORIZATION DEENABLED" </w:t>
                            </w:r>
                            <w:r w:rsidR="001925B5" w:rsidRPr="00304386">
                              <w:t>should</w:t>
                            </w:r>
                            <w:r w:rsidR="00304386" w:rsidRPr="00304386">
                              <w:t xml:space="preserve"> be "AUTHORIZATION UNENABLED" here and elsewhere since that's what it indicates and "deenabled" is not a real word.</w:t>
                            </w:r>
                            <w:r w:rsidR="00304386">
                              <w:t xml:space="preserve">” </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EB86D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71C92E9E" w14:textId="77777777" w:rsidR="0029020B" w:rsidRDefault="0029020B">
                      <w:pPr>
                        <w:pStyle w:val="T1"/>
                        <w:spacing w:after="120"/>
                      </w:pPr>
                      <w:r>
                        <w:t>Abstract</w:t>
                      </w:r>
                    </w:p>
                    <w:p w14:paraId="4E0E490A" w14:textId="1CF34300" w:rsidR="0029020B" w:rsidRDefault="00B246EF">
                      <w:pPr>
                        <w:jc w:val="both"/>
                      </w:pPr>
                      <w:r>
                        <w:t xml:space="preserve">This </w:t>
                      </w:r>
                      <w:r w:rsidR="0029020B">
                        <w:t xml:space="preserve">document </w:t>
                      </w:r>
                      <w:r>
                        <w:t xml:space="preserve">provides discussion and proposes a way for CID 1194 from LB258.  This CID </w:t>
                      </w:r>
                      <w:r w:rsidR="00304386">
                        <w:t>addresses “</w:t>
                      </w:r>
                      <w:r w:rsidR="00304386" w:rsidRPr="00304386">
                        <w:t xml:space="preserve">"AUTHORIZATION DEENABLED" </w:t>
                      </w:r>
                      <w:r w:rsidR="001925B5" w:rsidRPr="00304386">
                        <w:t>should</w:t>
                      </w:r>
                      <w:r w:rsidR="00304386" w:rsidRPr="00304386">
                        <w:t xml:space="preserve"> be "AUTHORIZATION UNENABLED" here and elsewhere since that's what it indicates and "deenabled" is not a real word.</w:t>
                      </w:r>
                      <w:r w:rsidR="00304386">
                        <w:t xml:space="preserve">” </w:t>
                      </w:r>
                      <w:r>
                        <w:t xml:space="preserve"> </w:t>
                      </w:r>
                    </w:p>
                  </w:txbxContent>
                </v:textbox>
              </v:shape>
            </w:pict>
          </mc:Fallback>
        </mc:AlternateContent>
      </w:r>
    </w:p>
    <w:p w14:paraId="7774FDA5" w14:textId="16EB2EEA" w:rsidR="00CA09B2" w:rsidRDefault="00CA09B2" w:rsidP="007E7A40">
      <w:r>
        <w:br w:type="page"/>
      </w:r>
    </w:p>
    <w:p w14:paraId="4547BDA1" w14:textId="7E121AF7" w:rsidR="003C789A" w:rsidRDefault="00BD25B7">
      <w:r>
        <w:lastRenderedPageBreak/>
        <w:t>This contribution addresses</w:t>
      </w:r>
      <w:r w:rsidR="003C789A">
        <w:t>:</w:t>
      </w:r>
    </w:p>
    <w:p w14:paraId="17A1715D" w14:textId="77777777" w:rsidR="00BD25B7" w:rsidRDefault="00BD25B7"/>
    <w:tbl>
      <w:tblPr>
        <w:tblW w:w="10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1402"/>
        <w:gridCol w:w="990"/>
        <w:gridCol w:w="990"/>
        <w:gridCol w:w="900"/>
        <w:gridCol w:w="3600"/>
        <w:gridCol w:w="1955"/>
      </w:tblGrid>
      <w:tr w:rsidR="00BD25B7" w:rsidRPr="00E12D36" w14:paraId="33DE23C0" w14:textId="77777777" w:rsidTr="00C95959">
        <w:trPr>
          <w:trHeight w:val="278"/>
        </w:trPr>
        <w:tc>
          <w:tcPr>
            <w:tcW w:w="663" w:type="dxa"/>
            <w:shd w:val="clear" w:color="auto" w:fill="auto"/>
            <w:hideMark/>
          </w:tcPr>
          <w:p w14:paraId="3288B77D" w14:textId="77777777" w:rsidR="00E12D36" w:rsidRPr="00E12D36" w:rsidRDefault="00E12D36" w:rsidP="00E12D36">
            <w:pPr>
              <w:rPr>
                <w:rFonts w:ascii="Arial" w:hAnsi="Arial" w:cs="Arial"/>
                <w:b/>
                <w:bCs/>
                <w:sz w:val="20"/>
                <w:lang w:val="en-US"/>
              </w:rPr>
            </w:pPr>
            <w:r w:rsidRPr="00E12D36">
              <w:rPr>
                <w:rFonts w:ascii="Arial" w:hAnsi="Arial" w:cs="Arial"/>
                <w:b/>
                <w:bCs/>
                <w:sz w:val="20"/>
                <w:lang w:val="en-US"/>
              </w:rPr>
              <w:t>CID</w:t>
            </w:r>
          </w:p>
        </w:tc>
        <w:tc>
          <w:tcPr>
            <w:tcW w:w="1402" w:type="dxa"/>
            <w:shd w:val="clear" w:color="auto" w:fill="auto"/>
            <w:hideMark/>
          </w:tcPr>
          <w:p w14:paraId="41F412CC" w14:textId="77777777" w:rsidR="00E12D36" w:rsidRPr="00E12D36" w:rsidRDefault="00E12D36" w:rsidP="00E12D36">
            <w:pPr>
              <w:rPr>
                <w:rFonts w:ascii="Arial" w:hAnsi="Arial" w:cs="Arial"/>
                <w:b/>
                <w:bCs/>
                <w:sz w:val="20"/>
                <w:lang w:val="en-US"/>
              </w:rPr>
            </w:pPr>
            <w:r w:rsidRPr="00E12D36">
              <w:rPr>
                <w:rFonts w:ascii="Arial" w:hAnsi="Arial" w:cs="Arial"/>
                <w:b/>
                <w:bCs/>
                <w:sz w:val="20"/>
                <w:lang w:val="en-US"/>
              </w:rPr>
              <w:t>Commenter</w:t>
            </w:r>
          </w:p>
        </w:tc>
        <w:tc>
          <w:tcPr>
            <w:tcW w:w="990" w:type="dxa"/>
            <w:shd w:val="clear" w:color="auto" w:fill="auto"/>
            <w:hideMark/>
          </w:tcPr>
          <w:p w14:paraId="4B81F486" w14:textId="77777777" w:rsidR="00E12D36" w:rsidRPr="00E12D36" w:rsidRDefault="00E12D36" w:rsidP="00E12D36">
            <w:pPr>
              <w:rPr>
                <w:rFonts w:ascii="Arial" w:hAnsi="Arial" w:cs="Arial"/>
                <w:b/>
                <w:bCs/>
                <w:sz w:val="20"/>
                <w:lang w:val="en-US"/>
              </w:rPr>
            </w:pPr>
            <w:r w:rsidRPr="00E12D36">
              <w:rPr>
                <w:rFonts w:ascii="Arial" w:hAnsi="Arial" w:cs="Arial"/>
                <w:b/>
                <w:bCs/>
                <w:sz w:val="20"/>
                <w:lang w:val="en-US"/>
              </w:rPr>
              <w:t>Page(C)</w:t>
            </w:r>
          </w:p>
        </w:tc>
        <w:tc>
          <w:tcPr>
            <w:tcW w:w="990" w:type="dxa"/>
            <w:shd w:val="clear" w:color="auto" w:fill="auto"/>
            <w:hideMark/>
          </w:tcPr>
          <w:p w14:paraId="538E9F68" w14:textId="77777777" w:rsidR="00E12D36" w:rsidRPr="00E12D36" w:rsidRDefault="00E12D36" w:rsidP="00E12D36">
            <w:pPr>
              <w:rPr>
                <w:rFonts w:ascii="Arial" w:hAnsi="Arial" w:cs="Arial"/>
                <w:b/>
                <w:bCs/>
                <w:sz w:val="20"/>
                <w:lang w:val="en-US"/>
              </w:rPr>
            </w:pPr>
            <w:r w:rsidRPr="00E12D36">
              <w:rPr>
                <w:rFonts w:ascii="Arial" w:hAnsi="Arial" w:cs="Arial"/>
                <w:b/>
                <w:bCs/>
                <w:sz w:val="20"/>
                <w:lang w:val="en-US"/>
              </w:rPr>
              <w:t>Line(C)</w:t>
            </w:r>
          </w:p>
        </w:tc>
        <w:tc>
          <w:tcPr>
            <w:tcW w:w="900" w:type="dxa"/>
            <w:shd w:val="clear" w:color="auto" w:fill="auto"/>
            <w:hideMark/>
          </w:tcPr>
          <w:p w14:paraId="218633BF" w14:textId="77777777" w:rsidR="00E12D36" w:rsidRPr="00E12D36" w:rsidRDefault="00E12D36" w:rsidP="00E12D36">
            <w:pPr>
              <w:rPr>
                <w:rFonts w:ascii="Arial" w:hAnsi="Arial" w:cs="Arial"/>
                <w:b/>
                <w:bCs/>
                <w:sz w:val="20"/>
                <w:lang w:val="en-US"/>
              </w:rPr>
            </w:pPr>
            <w:r w:rsidRPr="00E12D36">
              <w:rPr>
                <w:rFonts w:ascii="Arial" w:hAnsi="Arial" w:cs="Arial"/>
                <w:b/>
                <w:bCs/>
                <w:sz w:val="20"/>
                <w:lang w:val="en-US"/>
              </w:rPr>
              <w:t>Clause</w:t>
            </w:r>
          </w:p>
        </w:tc>
        <w:tc>
          <w:tcPr>
            <w:tcW w:w="3600" w:type="dxa"/>
            <w:shd w:val="clear" w:color="auto" w:fill="auto"/>
            <w:hideMark/>
          </w:tcPr>
          <w:p w14:paraId="347BED7F" w14:textId="77777777" w:rsidR="00E12D36" w:rsidRPr="00E12D36" w:rsidRDefault="00E12D36" w:rsidP="00E12D36">
            <w:pPr>
              <w:rPr>
                <w:rFonts w:ascii="Arial" w:hAnsi="Arial" w:cs="Arial"/>
                <w:b/>
                <w:bCs/>
                <w:sz w:val="20"/>
                <w:lang w:val="en-US"/>
              </w:rPr>
            </w:pPr>
            <w:r w:rsidRPr="00E12D36">
              <w:rPr>
                <w:rFonts w:ascii="Arial" w:hAnsi="Arial" w:cs="Arial"/>
                <w:b/>
                <w:bCs/>
                <w:sz w:val="20"/>
                <w:lang w:val="en-US"/>
              </w:rPr>
              <w:t>Comment</w:t>
            </w:r>
          </w:p>
        </w:tc>
        <w:tc>
          <w:tcPr>
            <w:tcW w:w="1955" w:type="dxa"/>
            <w:shd w:val="clear" w:color="auto" w:fill="auto"/>
            <w:hideMark/>
          </w:tcPr>
          <w:p w14:paraId="1152E314" w14:textId="77777777" w:rsidR="00E12D36" w:rsidRPr="00E12D36" w:rsidRDefault="00E12D36" w:rsidP="00E12D36">
            <w:pPr>
              <w:rPr>
                <w:rFonts w:ascii="Arial" w:hAnsi="Arial" w:cs="Arial"/>
                <w:b/>
                <w:bCs/>
                <w:sz w:val="20"/>
                <w:lang w:val="en-US"/>
              </w:rPr>
            </w:pPr>
            <w:r w:rsidRPr="00E12D36">
              <w:rPr>
                <w:rFonts w:ascii="Arial" w:hAnsi="Arial" w:cs="Arial"/>
                <w:b/>
                <w:bCs/>
                <w:sz w:val="20"/>
                <w:lang w:val="en-US"/>
              </w:rPr>
              <w:t>Proposed Change</w:t>
            </w:r>
          </w:p>
        </w:tc>
      </w:tr>
      <w:tr w:rsidR="00BD25B7" w:rsidRPr="00E12D36" w14:paraId="370B7F3D" w14:textId="77777777" w:rsidTr="00C95959">
        <w:trPr>
          <w:trHeight w:val="1259"/>
        </w:trPr>
        <w:tc>
          <w:tcPr>
            <w:tcW w:w="663" w:type="dxa"/>
            <w:shd w:val="clear" w:color="auto" w:fill="auto"/>
            <w:hideMark/>
          </w:tcPr>
          <w:p w14:paraId="6C0E3A0A" w14:textId="77777777" w:rsidR="00E12D36" w:rsidRPr="00E12D36" w:rsidRDefault="00E12D36" w:rsidP="00E12D36">
            <w:pPr>
              <w:jc w:val="right"/>
              <w:rPr>
                <w:rFonts w:ascii="Arial" w:hAnsi="Arial" w:cs="Arial"/>
                <w:sz w:val="20"/>
                <w:lang w:val="en-US"/>
              </w:rPr>
            </w:pPr>
            <w:r w:rsidRPr="00E12D36">
              <w:rPr>
                <w:rFonts w:ascii="Arial" w:hAnsi="Arial" w:cs="Arial"/>
                <w:sz w:val="20"/>
                <w:lang w:val="en-US"/>
              </w:rPr>
              <w:t>1194</w:t>
            </w:r>
          </w:p>
        </w:tc>
        <w:tc>
          <w:tcPr>
            <w:tcW w:w="1402" w:type="dxa"/>
            <w:shd w:val="clear" w:color="auto" w:fill="auto"/>
            <w:hideMark/>
          </w:tcPr>
          <w:p w14:paraId="78D581CC" w14:textId="77777777" w:rsidR="00E12D36" w:rsidRPr="00E12D36" w:rsidRDefault="00E12D36" w:rsidP="00E12D36">
            <w:pPr>
              <w:rPr>
                <w:rFonts w:ascii="Arial" w:hAnsi="Arial" w:cs="Arial"/>
                <w:sz w:val="20"/>
                <w:lang w:val="en-US"/>
              </w:rPr>
            </w:pPr>
            <w:r w:rsidRPr="00E12D36">
              <w:rPr>
                <w:rFonts w:ascii="Arial" w:hAnsi="Arial" w:cs="Arial"/>
                <w:sz w:val="20"/>
                <w:lang w:val="en-US"/>
              </w:rPr>
              <w:t>James Yee</w:t>
            </w:r>
          </w:p>
        </w:tc>
        <w:tc>
          <w:tcPr>
            <w:tcW w:w="990" w:type="dxa"/>
            <w:shd w:val="clear" w:color="auto" w:fill="auto"/>
            <w:hideMark/>
          </w:tcPr>
          <w:p w14:paraId="31E16C2A" w14:textId="77777777" w:rsidR="00E12D36" w:rsidRPr="00E12D36" w:rsidRDefault="00E12D36" w:rsidP="00E12D36">
            <w:pPr>
              <w:rPr>
                <w:rFonts w:ascii="Arial" w:hAnsi="Arial" w:cs="Arial"/>
                <w:sz w:val="20"/>
                <w:lang w:val="en-US"/>
              </w:rPr>
            </w:pPr>
            <w:r w:rsidRPr="00E12D36">
              <w:rPr>
                <w:rFonts w:ascii="Arial" w:hAnsi="Arial" w:cs="Arial"/>
                <w:sz w:val="20"/>
                <w:lang w:val="en-US"/>
              </w:rPr>
              <w:t>3048</w:t>
            </w:r>
          </w:p>
        </w:tc>
        <w:tc>
          <w:tcPr>
            <w:tcW w:w="990" w:type="dxa"/>
            <w:shd w:val="clear" w:color="auto" w:fill="auto"/>
            <w:hideMark/>
          </w:tcPr>
          <w:p w14:paraId="2FFF673E" w14:textId="77777777" w:rsidR="00E12D36" w:rsidRPr="00E12D36" w:rsidRDefault="00E12D36" w:rsidP="00E12D36">
            <w:pPr>
              <w:rPr>
                <w:rFonts w:ascii="Arial" w:hAnsi="Arial" w:cs="Arial"/>
                <w:sz w:val="20"/>
                <w:lang w:val="en-US"/>
              </w:rPr>
            </w:pPr>
            <w:r w:rsidRPr="00E12D36">
              <w:rPr>
                <w:rFonts w:ascii="Arial" w:hAnsi="Arial" w:cs="Arial"/>
                <w:sz w:val="20"/>
                <w:lang w:val="en-US"/>
              </w:rPr>
              <w:t>55</w:t>
            </w:r>
          </w:p>
        </w:tc>
        <w:tc>
          <w:tcPr>
            <w:tcW w:w="900" w:type="dxa"/>
            <w:shd w:val="clear" w:color="auto" w:fill="auto"/>
            <w:hideMark/>
          </w:tcPr>
          <w:p w14:paraId="74288325" w14:textId="77777777" w:rsidR="00E12D36" w:rsidRPr="00E12D36" w:rsidRDefault="00E12D36" w:rsidP="00E12D36">
            <w:pPr>
              <w:rPr>
                <w:rFonts w:ascii="Arial" w:hAnsi="Arial" w:cs="Arial"/>
                <w:sz w:val="20"/>
                <w:lang w:val="en-US"/>
              </w:rPr>
            </w:pPr>
            <w:r w:rsidRPr="00E12D36">
              <w:rPr>
                <w:rFonts w:ascii="Arial" w:hAnsi="Arial" w:cs="Arial"/>
                <w:sz w:val="20"/>
                <w:lang w:val="en-US"/>
              </w:rPr>
              <w:t>11.42.2</w:t>
            </w:r>
          </w:p>
        </w:tc>
        <w:tc>
          <w:tcPr>
            <w:tcW w:w="3600" w:type="dxa"/>
            <w:shd w:val="clear" w:color="auto" w:fill="auto"/>
            <w:hideMark/>
          </w:tcPr>
          <w:p w14:paraId="513C2989" w14:textId="77777777" w:rsidR="00E12D36" w:rsidRPr="00E12D36" w:rsidRDefault="00E12D36" w:rsidP="00E12D36">
            <w:pPr>
              <w:rPr>
                <w:rFonts w:ascii="Arial" w:hAnsi="Arial" w:cs="Arial"/>
                <w:sz w:val="20"/>
                <w:lang w:val="en-US"/>
              </w:rPr>
            </w:pPr>
            <w:r w:rsidRPr="00E12D36">
              <w:rPr>
                <w:rFonts w:ascii="Arial" w:hAnsi="Arial" w:cs="Arial"/>
                <w:sz w:val="20"/>
                <w:lang w:val="en-US"/>
              </w:rPr>
              <w:t>"AUTHORIZATION DEENABLED" sould be "AUTHORIZATION UNENABLED" here and elsewhere since that's what it indicates and "deenabled" is not a real word.</w:t>
            </w:r>
          </w:p>
        </w:tc>
        <w:tc>
          <w:tcPr>
            <w:tcW w:w="1955" w:type="dxa"/>
            <w:shd w:val="clear" w:color="auto" w:fill="auto"/>
            <w:hideMark/>
          </w:tcPr>
          <w:p w14:paraId="0C1259CB" w14:textId="77777777" w:rsidR="00E12D36" w:rsidRPr="00E12D36" w:rsidRDefault="00E12D36" w:rsidP="00E12D36">
            <w:pPr>
              <w:rPr>
                <w:rFonts w:ascii="Arial" w:hAnsi="Arial" w:cs="Arial"/>
                <w:sz w:val="20"/>
                <w:lang w:val="en-US"/>
              </w:rPr>
            </w:pPr>
            <w:r w:rsidRPr="00E12D36">
              <w:rPr>
                <w:rFonts w:ascii="Arial" w:hAnsi="Arial" w:cs="Arial"/>
                <w:sz w:val="20"/>
                <w:lang w:val="en-US"/>
              </w:rPr>
              <w:t>As suggested.</w:t>
            </w:r>
          </w:p>
        </w:tc>
      </w:tr>
    </w:tbl>
    <w:p w14:paraId="47C7A5B9" w14:textId="77777777" w:rsidR="003C789A" w:rsidRDefault="003C789A"/>
    <w:p w14:paraId="48321F21" w14:textId="77777777" w:rsidR="006A3E07" w:rsidRPr="006A3E07" w:rsidRDefault="00495A6A">
      <w:pPr>
        <w:rPr>
          <w:b/>
          <w:bCs/>
        </w:rPr>
      </w:pPr>
      <w:r w:rsidRPr="006A3E07">
        <w:rPr>
          <w:b/>
          <w:bCs/>
        </w:rPr>
        <w:t>Disc</w:t>
      </w:r>
      <w:r w:rsidR="006A3E07" w:rsidRPr="006A3E07">
        <w:rPr>
          <w:b/>
          <w:bCs/>
        </w:rPr>
        <w:t>ussion:</w:t>
      </w:r>
    </w:p>
    <w:p w14:paraId="694BBF2C" w14:textId="712F8C9C" w:rsidR="002E0A08" w:rsidRDefault="002E0A08">
      <w:r>
        <w:t>This CID was discussed</w:t>
      </w:r>
      <w:r w:rsidR="00C73A71">
        <w:t xml:space="preserve"> at </w:t>
      </w:r>
      <w:r w:rsidR="007549EB">
        <w:t xml:space="preserve">the Monday 24 Jan 2022 TGme </w:t>
      </w:r>
      <w:r w:rsidR="00997B69">
        <w:t>meeting</w:t>
      </w:r>
      <w:r w:rsidR="000779BA">
        <w:t xml:space="preserve">, where </w:t>
      </w:r>
      <w:r w:rsidR="00997B69">
        <w:t xml:space="preserve">it </w:t>
      </w:r>
      <w:r w:rsidR="007549EB">
        <w:t xml:space="preserve">was </w:t>
      </w:r>
      <w:r w:rsidR="00997B69">
        <w:t xml:space="preserve">agreed </w:t>
      </w:r>
      <w:r w:rsidR="009B66FA">
        <w:t xml:space="preserve">additional review </w:t>
      </w:r>
      <w:r w:rsidR="00D60305">
        <w:t>was required.</w:t>
      </w:r>
      <w:r w:rsidR="00AB465C">
        <w:t xml:space="preserve">  There was also some discussion on limiting the scope to </w:t>
      </w:r>
      <w:r w:rsidR="00DC3448">
        <w:t xml:space="preserve">only addressing “Authorization Deenabled”, but it was agreed to </w:t>
      </w:r>
      <w:r w:rsidR="00B46F21">
        <w:t xml:space="preserve">look at all uses of deenabled and unenabled. </w:t>
      </w:r>
      <w:r w:rsidR="00D60305">
        <w:t xml:space="preserve">  This document provides </w:t>
      </w:r>
      <w:r w:rsidR="00CD4889">
        <w:t>the requested additional review.</w:t>
      </w:r>
    </w:p>
    <w:p w14:paraId="3222608F" w14:textId="6BDF0911" w:rsidR="00CD4889" w:rsidRDefault="00CD4889"/>
    <w:p w14:paraId="022462AC" w14:textId="77777777" w:rsidR="00C54A03" w:rsidRDefault="00A11217">
      <w:r>
        <w:t>802.11REVme D1.0 has</w:t>
      </w:r>
      <w:r w:rsidR="00C54A03">
        <w:t>:</w:t>
      </w:r>
    </w:p>
    <w:p w14:paraId="44939D26" w14:textId="675DF4D0" w:rsidR="00997B69" w:rsidRPr="00534A2D" w:rsidRDefault="005B0D6C" w:rsidP="00534A2D">
      <w:pPr>
        <w:pStyle w:val="ListParagraph"/>
        <w:numPr>
          <w:ilvl w:val="0"/>
          <w:numId w:val="1"/>
        </w:numPr>
      </w:pPr>
      <w:r>
        <w:t xml:space="preserve">7 locations where “deenabled” is used: </w:t>
      </w:r>
      <w:r w:rsidR="00C54A03" w:rsidRPr="00534A2D">
        <w:rPr>
          <w:rFonts w:ascii="Calibri" w:hAnsi="Calibri" w:cs="Calibri"/>
          <w:szCs w:val="22"/>
        </w:rPr>
        <w:t>551.30, 1082.36 x2, 1873.56, 3048.55/58, 3050.28</w:t>
      </w:r>
    </w:p>
    <w:p w14:paraId="262FAD39" w14:textId="2E2691E8" w:rsidR="00534A2D" w:rsidRPr="00793B21" w:rsidRDefault="00534A2D" w:rsidP="00534A2D">
      <w:pPr>
        <w:pStyle w:val="ListParagraph"/>
        <w:numPr>
          <w:ilvl w:val="0"/>
          <w:numId w:val="1"/>
        </w:numPr>
      </w:pPr>
      <w:r>
        <w:rPr>
          <w:rFonts w:ascii="Calibri" w:hAnsi="Calibri" w:cs="Calibri"/>
          <w:szCs w:val="22"/>
        </w:rPr>
        <w:t xml:space="preserve">1 </w:t>
      </w:r>
      <w:r w:rsidR="00AA78F0">
        <w:rPr>
          <w:rFonts w:ascii="Calibri" w:hAnsi="Calibri" w:cs="Calibri"/>
          <w:szCs w:val="22"/>
        </w:rPr>
        <w:t>location</w:t>
      </w:r>
      <w:r>
        <w:rPr>
          <w:rFonts w:ascii="Calibri" w:hAnsi="Calibri" w:cs="Calibri"/>
          <w:szCs w:val="22"/>
        </w:rPr>
        <w:t xml:space="preserve"> where “deenable” is used: 2844.24</w:t>
      </w:r>
    </w:p>
    <w:p w14:paraId="199855F9" w14:textId="10DC1CE9" w:rsidR="00793B21" w:rsidRPr="00D96A24" w:rsidRDefault="00793B21" w:rsidP="00534A2D">
      <w:pPr>
        <w:pStyle w:val="ListParagraph"/>
        <w:numPr>
          <w:ilvl w:val="0"/>
          <w:numId w:val="1"/>
        </w:numPr>
      </w:pPr>
      <w:r>
        <w:rPr>
          <w:rFonts w:ascii="Calibri" w:hAnsi="Calibri" w:cs="Calibri"/>
          <w:szCs w:val="22"/>
        </w:rPr>
        <w:t xml:space="preserve">11 locations where “unenabled” is used: </w:t>
      </w:r>
      <w:r w:rsidR="00D96A24">
        <w:rPr>
          <w:rFonts w:ascii="Calibri" w:hAnsi="Calibri" w:cs="Calibri"/>
          <w:szCs w:val="22"/>
        </w:rPr>
        <w:t>2806.58, 2842.54, 2844.28, 2846.7, 2846.60, 2847.24, 3048.56, 3048.64, 3049.1/12, 3050.25, 3055.43</w:t>
      </w:r>
    </w:p>
    <w:p w14:paraId="181E75D1" w14:textId="494BEEEA" w:rsidR="00D96A24" w:rsidRDefault="00D96A24" w:rsidP="00534A2D">
      <w:pPr>
        <w:pStyle w:val="ListParagraph"/>
        <w:numPr>
          <w:ilvl w:val="0"/>
          <w:numId w:val="1"/>
        </w:numPr>
      </w:pPr>
      <w:r>
        <w:rPr>
          <w:rFonts w:ascii="Calibri" w:hAnsi="Calibri" w:cs="Calibri"/>
          <w:szCs w:val="22"/>
        </w:rPr>
        <w:t>The draft does not use: “</w:t>
      </w:r>
      <w:r w:rsidR="0014283A">
        <w:rPr>
          <w:rFonts w:ascii="Calibri" w:hAnsi="Calibri" w:cs="Calibri"/>
          <w:szCs w:val="22"/>
        </w:rPr>
        <w:t xml:space="preserve">unenable”, </w:t>
      </w:r>
      <w:r w:rsidR="009605F6">
        <w:rPr>
          <w:rFonts w:ascii="Calibri" w:hAnsi="Calibri" w:cs="Calibri"/>
          <w:szCs w:val="22"/>
        </w:rPr>
        <w:t>‘disable”, or “disabled”</w:t>
      </w:r>
    </w:p>
    <w:p w14:paraId="27676EB6" w14:textId="02E8932B" w:rsidR="00997B69" w:rsidRDefault="00997B69"/>
    <w:p w14:paraId="2F6286EE" w14:textId="5E4E90A0" w:rsidR="000779BA" w:rsidRDefault="00ED1CFA">
      <w:r>
        <w:t xml:space="preserve">As discussed in </w:t>
      </w:r>
      <w:r w:rsidR="00EE70A0">
        <w:t xml:space="preserve">in TGme – comments on this were requested from </w:t>
      </w:r>
      <w:r w:rsidR="00B87482">
        <w:t xml:space="preserve">Rich Kennedy and </w:t>
      </w:r>
      <w:r w:rsidR="00DC2258">
        <w:t>Peter Ecclesine</w:t>
      </w:r>
      <w:r w:rsidR="007947FC">
        <w:t>, Rich provided the following comment:</w:t>
      </w:r>
    </w:p>
    <w:p w14:paraId="52A7745A" w14:textId="36033562" w:rsidR="00955619" w:rsidRDefault="00955619" w:rsidP="00955619">
      <w:r>
        <w:t>“DEENABLE is half of the enablement process; a device is ENABLED, and failing to receive and decode an enablement signal, it is DEENABLED. It is how it is known by the few developers of TVWS equipment. There is no reason to change it. The only effect it would have would be to confuse them. Please reject the comment on the grounds that it has no value to the technology or the standard. It is a real word in the world of TV White Space.”</w:t>
      </w:r>
    </w:p>
    <w:p w14:paraId="3423D156" w14:textId="5D2296D3" w:rsidR="001879BA" w:rsidRDefault="001879BA" w:rsidP="00955619"/>
    <w:p w14:paraId="0A72A077" w14:textId="2DB1167D" w:rsidR="00642A2A" w:rsidRDefault="00656393" w:rsidP="00955619">
      <w:r>
        <w:t>Based on this feedback deenabled should remain in the draf</w:t>
      </w:r>
      <w:r w:rsidR="00BC2F94">
        <w:t>t</w:t>
      </w:r>
      <w:r w:rsidR="00257E3D">
        <w:t>.</w:t>
      </w:r>
      <w:r w:rsidR="00BC2F94">
        <w:t xml:space="preserve">  Also, the use of deenable </w:t>
      </w:r>
      <w:r w:rsidR="00997A7A">
        <w:t xml:space="preserve">where the specification discussed the act of </w:t>
      </w:r>
      <w:r w:rsidR="00642A2A">
        <w:t>becoming deenabled, should also not change.</w:t>
      </w:r>
      <w:r w:rsidR="00415B44">
        <w:t xml:space="preserve">  It may make sense to provide a definition of deenabled, but </w:t>
      </w:r>
      <w:r w:rsidR="00862162">
        <w:t xml:space="preserve">it doesn’t seem </w:t>
      </w:r>
      <w:r w:rsidR="001925B5">
        <w:t>necessary</w:t>
      </w:r>
      <w:r w:rsidR="00862162">
        <w:t xml:space="preserve">. </w:t>
      </w:r>
    </w:p>
    <w:p w14:paraId="338EA268" w14:textId="77777777" w:rsidR="00642A2A" w:rsidRDefault="00642A2A" w:rsidP="00955619"/>
    <w:p w14:paraId="7909378B" w14:textId="5D63B827" w:rsidR="00CA09B2" w:rsidRDefault="00642A2A">
      <w:r>
        <w:t xml:space="preserve">Regarding the term “unenabled” </w:t>
      </w:r>
      <w:r w:rsidR="00B322A0">
        <w:t xml:space="preserve">the term is used to </w:t>
      </w:r>
      <w:r w:rsidR="007333F2">
        <w:t xml:space="preserve">describe the state </w:t>
      </w:r>
      <w:r w:rsidR="008B062A">
        <w:t xml:space="preserve">that is </w:t>
      </w:r>
      <w:r w:rsidR="001925B5">
        <w:t>opposite</w:t>
      </w:r>
      <w:r w:rsidR="008B062A">
        <w:t xml:space="preserve"> to the </w:t>
      </w:r>
      <w:r w:rsidR="007333F2">
        <w:t>“enabled”</w:t>
      </w:r>
      <w:r w:rsidR="008B062A">
        <w:t xml:space="preserve"> state</w:t>
      </w:r>
      <w:r w:rsidR="007333F2">
        <w:t xml:space="preserve">.  </w:t>
      </w:r>
      <w:r w:rsidR="00347E17">
        <w:t xml:space="preserve">A STA can be enabled or unenabled, regarding </w:t>
      </w:r>
      <w:r w:rsidR="00FD50B3">
        <w:t>some features: e.g., extended channel switching (</w:t>
      </w:r>
      <w:r w:rsidR="00752B60">
        <w:t xml:space="preserve">ECS), </w:t>
      </w:r>
      <w:r w:rsidR="00A95D1A">
        <w:t>dy</w:t>
      </w:r>
      <w:r w:rsidR="00703107">
        <w:t>namic station enablement (</w:t>
      </w:r>
      <w:r w:rsidR="00B7158F">
        <w:t>DSE</w:t>
      </w:r>
      <w:r w:rsidR="00703107">
        <w:t>)</w:t>
      </w:r>
      <w:r w:rsidR="00BE29A5">
        <w:t xml:space="preserve">, </w:t>
      </w:r>
      <w:r w:rsidR="00495A6A">
        <w:t>geolocation database dependent (</w:t>
      </w:r>
      <w:r w:rsidR="00EE7651">
        <w:t>GDD</w:t>
      </w:r>
      <w:r w:rsidR="00495A6A">
        <w:t>)</w:t>
      </w:r>
      <w:r w:rsidR="00A83D9E">
        <w:t>.</w:t>
      </w:r>
      <w:r w:rsidR="004906BE">
        <w:t xml:space="preserve"> </w:t>
      </w:r>
    </w:p>
    <w:p w14:paraId="5C2F829D" w14:textId="25B2A19F" w:rsidR="006A3E07" w:rsidRDefault="006A3E07"/>
    <w:p w14:paraId="50EF0968" w14:textId="4700720E" w:rsidR="006A3E07" w:rsidRPr="00757659" w:rsidRDefault="006A3E07">
      <w:pPr>
        <w:rPr>
          <w:b/>
          <w:bCs/>
        </w:rPr>
      </w:pPr>
      <w:r w:rsidRPr="00757659">
        <w:rPr>
          <w:b/>
          <w:bCs/>
        </w:rPr>
        <w:t>Resolution:</w:t>
      </w:r>
    </w:p>
    <w:p w14:paraId="7724690F" w14:textId="7A02F10C" w:rsidR="006A3E07" w:rsidRDefault="006A3E07">
      <w:r>
        <w:t xml:space="preserve">Rejected </w:t>
      </w:r>
    </w:p>
    <w:p w14:paraId="5DE65464" w14:textId="49A2E58C" w:rsidR="00493A91" w:rsidRDefault="005A4E3D">
      <w:r>
        <w:t>While</w:t>
      </w:r>
      <w:r w:rsidR="006C113C">
        <w:t xml:space="preserve"> </w:t>
      </w:r>
      <w:r w:rsidR="002328A9">
        <w:t>the commentor is correct that</w:t>
      </w:r>
      <w:r>
        <w:t xml:space="preserve"> DEENABLE is not a “real word”, </w:t>
      </w:r>
      <w:r w:rsidR="00493A91">
        <w:t>DE</w:t>
      </w:r>
      <w:r w:rsidR="00E32B53">
        <w:t>ENABLE is a term used in the TV White Space community</w:t>
      </w:r>
      <w:r w:rsidR="00124B02">
        <w:t xml:space="preserve">, </w:t>
      </w:r>
      <w:r w:rsidR="00F465FB">
        <w:t xml:space="preserve">where </w:t>
      </w:r>
      <w:r w:rsidR="00124B02">
        <w:t>it has a defined known meaning</w:t>
      </w:r>
      <w:r w:rsidR="00F465FB">
        <w:t>.  C</w:t>
      </w:r>
      <w:r w:rsidR="00124B02">
        <w:t xml:space="preserve">hanging it to another term </w:t>
      </w:r>
      <w:r w:rsidR="004A641F">
        <w:t xml:space="preserve">would </w:t>
      </w:r>
      <w:r w:rsidR="0068298A">
        <w:t>likely c</w:t>
      </w:r>
      <w:r w:rsidR="004A641F">
        <w:t>ause confus</w:t>
      </w:r>
      <w:r>
        <w:t>ion in</w:t>
      </w:r>
      <w:r w:rsidR="004A641F">
        <w:t xml:space="preserve"> the TV White Space community. </w:t>
      </w:r>
    </w:p>
    <w:p w14:paraId="71A4BA1E" w14:textId="77777777" w:rsidR="00CA09B2" w:rsidRDefault="00CA09B2">
      <w:pPr>
        <w:rPr>
          <w:b/>
          <w:sz w:val="24"/>
        </w:rPr>
      </w:pPr>
      <w:r>
        <w:br w:type="page"/>
      </w:r>
      <w:r>
        <w:rPr>
          <w:b/>
          <w:sz w:val="24"/>
        </w:rPr>
        <w:lastRenderedPageBreak/>
        <w:t>References:</w:t>
      </w:r>
    </w:p>
    <w:p w14:paraId="5784FD05"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04429" w14:textId="77777777" w:rsidR="00230778" w:rsidRDefault="00230778">
      <w:r>
        <w:separator/>
      </w:r>
    </w:p>
  </w:endnote>
  <w:endnote w:type="continuationSeparator" w:id="0">
    <w:p w14:paraId="4A3B9001" w14:textId="77777777" w:rsidR="00230778" w:rsidRDefault="00230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562FE" w14:textId="2C77F2AA" w:rsidR="0029020B" w:rsidRDefault="00757659">
    <w:pPr>
      <w:pStyle w:val="Footer"/>
      <w:tabs>
        <w:tab w:val="clear" w:pos="6480"/>
        <w:tab w:val="center" w:pos="4680"/>
        <w:tab w:val="right" w:pos="9360"/>
      </w:tabs>
    </w:pPr>
    <w:fldSimple w:instr=" SUBJECT  \* MERGEFORMAT ">
      <w:r w:rsidR="000B78C2">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0B78C2">
        <w:t>Joseph Levy, InterDigital</w:t>
      </w:r>
    </w:fldSimple>
  </w:p>
  <w:p w14:paraId="75636311"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BC7B6" w14:textId="77777777" w:rsidR="00230778" w:rsidRDefault="00230778">
      <w:r>
        <w:separator/>
      </w:r>
    </w:p>
  </w:footnote>
  <w:footnote w:type="continuationSeparator" w:id="0">
    <w:p w14:paraId="76DCD8E6" w14:textId="77777777" w:rsidR="00230778" w:rsidRDefault="00230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CD216" w14:textId="5562B02E" w:rsidR="0029020B" w:rsidRDefault="00757659">
    <w:pPr>
      <w:pStyle w:val="Header"/>
      <w:tabs>
        <w:tab w:val="clear" w:pos="6480"/>
        <w:tab w:val="center" w:pos="4680"/>
        <w:tab w:val="right" w:pos="9360"/>
      </w:tabs>
    </w:pPr>
    <w:fldSimple w:instr=" KEYWORDS  \* MERGEFORMAT ">
      <w:r w:rsidR="000B78C2">
        <w:t>January 2022</w:t>
      </w:r>
    </w:fldSimple>
    <w:r w:rsidR="0029020B">
      <w:tab/>
    </w:r>
    <w:r w:rsidR="0029020B">
      <w:tab/>
    </w:r>
    <w:fldSimple w:instr=" TITLE  \* MERGEFORMAT ">
      <w:r w:rsidR="000B78C2">
        <w:t>doc.: IEEE 802.11-22/0197r0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16586"/>
    <w:multiLevelType w:val="hybridMultilevel"/>
    <w:tmpl w:val="189A0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1342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6EF"/>
    <w:rsid w:val="00054C1C"/>
    <w:rsid w:val="000779BA"/>
    <w:rsid w:val="000B78C2"/>
    <w:rsid w:val="00124B02"/>
    <w:rsid w:val="0014283A"/>
    <w:rsid w:val="001879BA"/>
    <w:rsid w:val="001925B5"/>
    <w:rsid w:val="001D723B"/>
    <w:rsid w:val="00230778"/>
    <w:rsid w:val="002328A9"/>
    <w:rsid w:val="00257E3D"/>
    <w:rsid w:val="0029020B"/>
    <w:rsid w:val="002D44BE"/>
    <w:rsid w:val="002E0A08"/>
    <w:rsid w:val="00304386"/>
    <w:rsid w:val="00347E17"/>
    <w:rsid w:val="003C789A"/>
    <w:rsid w:val="00415B44"/>
    <w:rsid w:val="00442037"/>
    <w:rsid w:val="004906BE"/>
    <w:rsid w:val="00493A91"/>
    <w:rsid w:val="00495A6A"/>
    <w:rsid w:val="004A641F"/>
    <w:rsid w:val="004B064B"/>
    <w:rsid w:val="00534A2D"/>
    <w:rsid w:val="005A4E3D"/>
    <w:rsid w:val="005B0D6C"/>
    <w:rsid w:val="00607475"/>
    <w:rsid w:val="0062440B"/>
    <w:rsid w:val="00642A2A"/>
    <w:rsid w:val="00656393"/>
    <w:rsid w:val="0068298A"/>
    <w:rsid w:val="006A3E07"/>
    <w:rsid w:val="006C0727"/>
    <w:rsid w:val="006C113C"/>
    <w:rsid w:val="006E145F"/>
    <w:rsid w:val="00703107"/>
    <w:rsid w:val="00713C94"/>
    <w:rsid w:val="007333F2"/>
    <w:rsid w:val="00752B60"/>
    <w:rsid w:val="007549EB"/>
    <w:rsid w:val="00757659"/>
    <w:rsid w:val="00770572"/>
    <w:rsid w:val="00793B21"/>
    <w:rsid w:val="007947FC"/>
    <w:rsid w:val="007A0EDF"/>
    <w:rsid w:val="007E7A40"/>
    <w:rsid w:val="00862162"/>
    <w:rsid w:val="008B062A"/>
    <w:rsid w:val="00955619"/>
    <w:rsid w:val="009605F6"/>
    <w:rsid w:val="00997A7A"/>
    <w:rsid w:val="00997B69"/>
    <w:rsid w:val="009B66FA"/>
    <w:rsid w:val="009F2FBC"/>
    <w:rsid w:val="00A11217"/>
    <w:rsid w:val="00A83D9E"/>
    <w:rsid w:val="00A95D1A"/>
    <w:rsid w:val="00AA427C"/>
    <w:rsid w:val="00AA78F0"/>
    <w:rsid w:val="00AB465C"/>
    <w:rsid w:val="00AF7A7D"/>
    <w:rsid w:val="00B246EF"/>
    <w:rsid w:val="00B322A0"/>
    <w:rsid w:val="00B46F21"/>
    <w:rsid w:val="00B7158F"/>
    <w:rsid w:val="00B87482"/>
    <w:rsid w:val="00BC2F94"/>
    <w:rsid w:val="00BD25B7"/>
    <w:rsid w:val="00BE29A5"/>
    <w:rsid w:val="00BE68C2"/>
    <w:rsid w:val="00C54A03"/>
    <w:rsid w:val="00C73A71"/>
    <w:rsid w:val="00C95959"/>
    <w:rsid w:val="00CA09B2"/>
    <w:rsid w:val="00CD4889"/>
    <w:rsid w:val="00D60305"/>
    <w:rsid w:val="00D6433C"/>
    <w:rsid w:val="00D96A24"/>
    <w:rsid w:val="00DC2258"/>
    <w:rsid w:val="00DC3448"/>
    <w:rsid w:val="00DC5A7B"/>
    <w:rsid w:val="00E12D36"/>
    <w:rsid w:val="00E32B53"/>
    <w:rsid w:val="00EA36F8"/>
    <w:rsid w:val="00ED1CFA"/>
    <w:rsid w:val="00EE70A0"/>
    <w:rsid w:val="00EE7651"/>
    <w:rsid w:val="00F465FB"/>
    <w:rsid w:val="00FD50B3"/>
    <w:rsid w:val="00FE6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9ED16B"/>
  <w15:chartTrackingRefBased/>
  <w15:docId w15:val="{DCB8666B-DCFD-4B56-B1A8-68750F32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534A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318630">
      <w:bodyDiv w:val="1"/>
      <w:marLeft w:val="0"/>
      <w:marRight w:val="0"/>
      <w:marTop w:val="0"/>
      <w:marBottom w:val="0"/>
      <w:divBdr>
        <w:top w:val="none" w:sz="0" w:space="0" w:color="auto"/>
        <w:left w:val="none" w:sz="0" w:space="0" w:color="auto"/>
        <w:bottom w:val="none" w:sz="0" w:space="0" w:color="auto"/>
        <w:right w:val="none" w:sz="0" w:space="0" w:color="auto"/>
      </w:divBdr>
    </w:div>
    <w:div w:id="173384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OneDrive%20-%20Interdigital%20Communications%20Inc\802\Spec_Review\802.11me_review\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2097</TotalTime>
  <Pages>3</Pages>
  <Words>399</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802.11-22/0197r0</dc:title>
  <dc:subject>Submission</dc:subject>
  <dc:creator>Joseph Levy</dc:creator>
  <cp:keywords>January 2022</cp:keywords>
  <dc:description>Joseph Levy, InterDigital</dc:description>
  <cp:lastModifiedBy>Joseph Levy</cp:lastModifiedBy>
  <cp:revision>74</cp:revision>
  <cp:lastPrinted>1900-01-01T05:00:00Z</cp:lastPrinted>
  <dcterms:created xsi:type="dcterms:W3CDTF">2022-01-24T22:21:00Z</dcterms:created>
  <dcterms:modified xsi:type="dcterms:W3CDTF">2022-08-22T23:47:00Z</dcterms:modified>
</cp:coreProperties>
</file>