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1684"/>
        <w:gridCol w:w="1824"/>
        <w:gridCol w:w="1543"/>
        <w:gridCol w:w="2639"/>
      </w:tblGrid>
      <w:tr w:rsidR="00CA09B2" w:rsidRPr="0000316F" w14:paraId="7399166A" w14:textId="77777777" w:rsidTr="006E5E9C">
        <w:trPr>
          <w:trHeight w:val="569"/>
          <w:jc w:val="center"/>
        </w:trPr>
        <w:tc>
          <w:tcPr>
            <w:tcW w:w="9481" w:type="dxa"/>
            <w:gridSpan w:val="5"/>
            <w:vAlign w:val="center"/>
          </w:tcPr>
          <w:p w14:paraId="7D48F983" w14:textId="66E5E281" w:rsidR="009A7E36" w:rsidRPr="0000316F" w:rsidRDefault="009A7E36" w:rsidP="009A7E36">
            <w:pPr>
              <w:pStyle w:val="T2"/>
            </w:pPr>
            <w:r w:rsidRPr="0000316F">
              <w:t xml:space="preserve">Proposed Draft Text for                                                                        </w:t>
            </w:r>
            <w:r w:rsidR="00013BF4" w:rsidRPr="0000316F">
              <w:t>Sensing measurement setup termination</w:t>
            </w:r>
          </w:p>
        </w:tc>
      </w:tr>
      <w:tr w:rsidR="00CA09B2" w:rsidRPr="0000316F" w14:paraId="6FF5FF9F" w14:textId="77777777" w:rsidTr="006E5E9C">
        <w:trPr>
          <w:trHeight w:val="421"/>
          <w:jc w:val="center"/>
        </w:trPr>
        <w:tc>
          <w:tcPr>
            <w:tcW w:w="9481" w:type="dxa"/>
            <w:gridSpan w:val="5"/>
            <w:vAlign w:val="center"/>
          </w:tcPr>
          <w:p w14:paraId="52FDDC37" w14:textId="3D036F2F" w:rsidR="00CA09B2" w:rsidRPr="0000316F" w:rsidRDefault="00CA09B2">
            <w:pPr>
              <w:pStyle w:val="T2"/>
              <w:ind w:left="0"/>
              <w:rPr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Date:</w:t>
            </w:r>
            <w:r w:rsidRPr="0000316F">
              <w:rPr>
                <w:b w:val="0"/>
                <w:sz w:val="22"/>
                <w:szCs w:val="22"/>
              </w:rPr>
              <w:t xml:space="preserve">  </w:t>
            </w:r>
            <w:r w:rsidR="00BC5427" w:rsidRPr="0000316F">
              <w:rPr>
                <w:b w:val="0"/>
                <w:sz w:val="22"/>
                <w:szCs w:val="22"/>
              </w:rPr>
              <w:t>2022</w:t>
            </w:r>
            <w:r w:rsidRPr="0000316F">
              <w:rPr>
                <w:b w:val="0"/>
                <w:sz w:val="22"/>
                <w:szCs w:val="22"/>
              </w:rPr>
              <w:t>-</w:t>
            </w:r>
            <w:r w:rsidR="00BC5427" w:rsidRPr="0000316F">
              <w:rPr>
                <w:b w:val="0"/>
                <w:sz w:val="22"/>
                <w:szCs w:val="22"/>
              </w:rPr>
              <w:t>01</w:t>
            </w:r>
            <w:r w:rsidRPr="0000316F">
              <w:rPr>
                <w:b w:val="0"/>
                <w:sz w:val="22"/>
                <w:szCs w:val="22"/>
              </w:rPr>
              <w:t>-</w:t>
            </w:r>
            <w:r w:rsidR="009508A4">
              <w:rPr>
                <w:b w:val="0"/>
                <w:sz w:val="22"/>
                <w:szCs w:val="22"/>
              </w:rPr>
              <w:t>24</w:t>
            </w:r>
          </w:p>
        </w:tc>
      </w:tr>
      <w:tr w:rsidR="00CA09B2" w:rsidRPr="0000316F" w14:paraId="33166D08" w14:textId="77777777" w:rsidTr="006E5E9C">
        <w:trPr>
          <w:cantSplit/>
          <w:trHeight w:val="287"/>
          <w:jc w:val="center"/>
        </w:trPr>
        <w:tc>
          <w:tcPr>
            <w:tcW w:w="9481" w:type="dxa"/>
            <w:gridSpan w:val="5"/>
            <w:vAlign w:val="center"/>
          </w:tcPr>
          <w:p w14:paraId="4B5C6834" w14:textId="77777777" w:rsidR="00CA09B2" w:rsidRPr="0000316F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Author(s):</w:t>
            </w:r>
          </w:p>
        </w:tc>
      </w:tr>
      <w:tr w:rsidR="00CA09B2" w:rsidRPr="0000316F" w14:paraId="5449CE92" w14:textId="77777777" w:rsidTr="006E5E9C">
        <w:trPr>
          <w:trHeight w:val="287"/>
          <w:jc w:val="center"/>
        </w:trPr>
        <w:tc>
          <w:tcPr>
            <w:tcW w:w="1791" w:type="dxa"/>
            <w:vAlign w:val="center"/>
          </w:tcPr>
          <w:p w14:paraId="7E619316" w14:textId="77777777" w:rsidR="00CA09B2" w:rsidRPr="0000316F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Name</w:t>
            </w:r>
          </w:p>
        </w:tc>
        <w:tc>
          <w:tcPr>
            <w:tcW w:w="1684" w:type="dxa"/>
            <w:vAlign w:val="center"/>
          </w:tcPr>
          <w:p w14:paraId="0054A244" w14:textId="77777777" w:rsidR="00CA09B2" w:rsidRPr="0000316F" w:rsidRDefault="0062440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Affiliation</w:t>
            </w:r>
          </w:p>
        </w:tc>
        <w:tc>
          <w:tcPr>
            <w:tcW w:w="1824" w:type="dxa"/>
            <w:vAlign w:val="center"/>
          </w:tcPr>
          <w:p w14:paraId="49E1B423" w14:textId="77777777" w:rsidR="00CA09B2" w:rsidRPr="0000316F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Address</w:t>
            </w:r>
          </w:p>
        </w:tc>
        <w:tc>
          <w:tcPr>
            <w:tcW w:w="1543" w:type="dxa"/>
            <w:vAlign w:val="center"/>
          </w:tcPr>
          <w:p w14:paraId="72C88DB6" w14:textId="77777777" w:rsidR="00CA09B2" w:rsidRPr="0000316F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Phone</w:t>
            </w:r>
          </w:p>
        </w:tc>
        <w:tc>
          <w:tcPr>
            <w:tcW w:w="2637" w:type="dxa"/>
            <w:vAlign w:val="center"/>
          </w:tcPr>
          <w:p w14:paraId="12F17608" w14:textId="390148AB" w:rsidR="00CA09B2" w:rsidRPr="0000316F" w:rsidRDefault="003A00C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E</w:t>
            </w:r>
            <w:r w:rsidR="00CA09B2" w:rsidRPr="0000316F">
              <w:rPr>
                <w:sz w:val="22"/>
                <w:szCs w:val="22"/>
              </w:rPr>
              <w:t>mail</w:t>
            </w:r>
          </w:p>
        </w:tc>
      </w:tr>
      <w:tr w:rsidR="00D03EA2" w:rsidRPr="0000316F" w14:paraId="5886EAD2" w14:textId="77777777" w:rsidTr="006E5E9C">
        <w:trPr>
          <w:trHeight w:val="302"/>
          <w:jc w:val="center"/>
        </w:trPr>
        <w:tc>
          <w:tcPr>
            <w:tcW w:w="1791" w:type="dxa"/>
            <w:vAlign w:val="center"/>
          </w:tcPr>
          <w:p w14:paraId="2E86A3B0" w14:textId="39600B3C" w:rsidR="00D03EA2" w:rsidRPr="0000316F" w:rsidRDefault="00D03EA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00316F">
              <w:rPr>
                <w:rFonts w:hint="eastAsia"/>
                <w:b w:val="0"/>
                <w:sz w:val="22"/>
                <w:szCs w:val="22"/>
                <w:lang w:eastAsia="zh-CN"/>
              </w:rPr>
              <w:t>Pei</w:t>
            </w:r>
            <w:r w:rsidRPr="0000316F">
              <w:rPr>
                <w:b w:val="0"/>
                <w:sz w:val="22"/>
                <w:szCs w:val="22"/>
              </w:rPr>
              <w:t xml:space="preserve"> Zhou</w:t>
            </w:r>
          </w:p>
        </w:tc>
        <w:tc>
          <w:tcPr>
            <w:tcW w:w="1684" w:type="dxa"/>
            <w:vMerge w:val="restart"/>
            <w:vAlign w:val="center"/>
          </w:tcPr>
          <w:p w14:paraId="7E4258F2" w14:textId="0BFE0765" w:rsidR="00D03EA2" w:rsidRPr="0000316F" w:rsidRDefault="00D03EA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00316F">
              <w:rPr>
                <w:rFonts w:hint="eastAsia"/>
                <w:b w:val="0"/>
                <w:sz w:val="22"/>
                <w:szCs w:val="22"/>
                <w:lang w:eastAsia="zh-CN"/>
              </w:rPr>
              <w:t>O</w:t>
            </w:r>
            <w:r w:rsidRPr="0000316F">
              <w:rPr>
                <w:b w:val="0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1824" w:type="dxa"/>
            <w:vAlign w:val="center"/>
          </w:tcPr>
          <w:p w14:paraId="525B3D17" w14:textId="77777777" w:rsidR="00D03EA2" w:rsidRPr="0000316F" w:rsidRDefault="00D03EA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11437AE4" w14:textId="77777777" w:rsidR="00D03EA2" w:rsidRPr="0000316F" w:rsidRDefault="00D03EA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14:paraId="64CE4701" w14:textId="71F98FD1" w:rsidR="00D03EA2" w:rsidRPr="0000316F" w:rsidRDefault="00D03EA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00316F">
              <w:rPr>
                <w:b w:val="0"/>
                <w:sz w:val="22"/>
                <w:szCs w:val="22"/>
                <w:lang w:eastAsia="zh-CN"/>
              </w:rPr>
              <w:t>zhoupei1@oppo.com</w:t>
            </w:r>
          </w:p>
        </w:tc>
      </w:tr>
      <w:tr w:rsidR="00D03EA2" w:rsidRPr="0000316F" w14:paraId="1816F42F" w14:textId="77777777" w:rsidTr="006E5E9C">
        <w:trPr>
          <w:trHeight w:val="287"/>
          <w:jc w:val="center"/>
        </w:trPr>
        <w:tc>
          <w:tcPr>
            <w:tcW w:w="1791" w:type="dxa"/>
            <w:vAlign w:val="center"/>
          </w:tcPr>
          <w:p w14:paraId="2BC42662" w14:textId="393D7ADC" w:rsidR="00D03EA2" w:rsidRPr="0000316F" w:rsidRDefault="00D03EA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00316F">
              <w:rPr>
                <w:rFonts w:hint="eastAsia"/>
                <w:b w:val="0"/>
                <w:sz w:val="22"/>
                <w:szCs w:val="22"/>
                <w:lang w:eastAsia="zh-CN"/>
              </w:rPr>
              <w:t>C</w:t>
            </w:r>
            <w:r w:rsidRPr="0000316F">
              <w:rPr>
                <w:b w:val="0"/>
                <w:sz w:val="22"/>
                <w:szCs w:val="22"/>
                <w:lang w:eastAsia="zh-CN"/>
              </w:rPr>
              <w:t>haoming Luo</w:t>
            </w:r>
          </w:p>
        </w:tc>
        <w:tc>
          <w:tcPr>
            <w:tcW w:w="1684" w:type="dxa"/>
            <w:vMerge/>
            <w:vAlign w:val="center"/>
          </w:tcPr>
          <w:p w14:paraId="1F015711" w14:textId="77777777" w:rsidR="00D03EA2" w:rsidRPr="0000316F" w:rsidRDefault="00D03EA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1175FC5F" w14:textId="77777777" w:rsidR="00D03EA2" w:rsidRPr="0000316F" w:rsidRDefault="00D03EA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765F9024" w14:textId="77777777" w:rsidR="00D03EA2" w:rsidRPr="0000316F" w:rsidRDefault="00D03EA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14:paraId="4B29A7CB" w14:textId="77777777" w:rsidR="00D03EA2" w:rsidRPr="0000316F" w:rsidRDefault="00D03EA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  <w:tr w:rsidR="00D03EA2" w:rsidRPr="0000316F" w14:paraId="0037E5D3" w14:textId="77777777" w:rsidTr="006E5E9C">
        <w:trPr>
          <w:trHeight w:val="287"/>
          <w:jc w:val="center"/>
        </w:trPr>
        <w:tc>
          <w:tcPr>
            <w:tcW w:w="1791" w:type="dxa"/>
            <w:vAlign w:val="center"/>
          </w:tcPr>
          <w:p w14:paraId="1FF45AF8" w14:textId="7C280DC3" w:rsidR="00D03EA2" w:rsidRPr="0000316F" w:rsidRDefault="00D03EA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00316F">
              <w:rPr>
                <w:rFonts w:hint="eastAsia"/>
                <w:b w:val="0"/>
                <w:sz w:val="22"/>
                <w:szCs w:val="22"/>
                <w:lang w:eastAsia="zh-CN"/>
              </w:rPr>
              <w:t>L</w:t>
            </w:r>
            <w:r w:rsidRPr="0000316F">
              <w:rPr>
                <w:b w:val="0"/>
                <w:sz w:val="22"/>
                <w:szCs w:val="22"/>
                <w:lang w:eastAsia="zh-CN"/>
              </w:rPr>
              <w:t>ei Huang</w:t>
            </w:r>
          </w:p>
        </w:tc>
        <w:tc>
          <w:tcPr>
            <w:tcW w:w="1684" w:type="dxa"/>
            <w:vMerge/>
            <w:vAlign w:val="center"/>
          </w:tcPr>
          <w:p w14:paraId="7C528DC5" w14:textId="77777777" w:rsidR="00D03EA2" w:rsidRPr="0000316F" w:rsidRDefault="00D03EA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0615A8D2" w14:textId="77777777" w:rsidR="00D03EA2" w:rsidRPr="0000316F" w:rsidRDefault="00D03EA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7FA2349" w14:textId="77777777" w:rsidR="00D03EA2" w:rsidRPr="0000316F" w:rsidRDefault="00D03EA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14:paraId="22285454" w14:textId="77777777" w:rsidR="00D03EA2" w:rsidRPr="0000316F" w:rsidRDefault="00D03EA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  <w:tr w:rsidR="00D03EA2" w:rsidRPr="0000316F" w14:paraId="35749A56" w14:textId="77777777" w:rsidTr="006E5E9C">
        <w:trPr>
          <w:trHeight w:val="302"/>
          <w:jc w:val="center"/>
        </w:trPr>
        <w:tc>
          <w:tcPr>
            <w:tcW w:w="1791" w:type="dxa"/>
            <w:vAlign w:val="center"/>
          </w:tcPr>
          <w:p w14:paraId="435C6E4F" w14:textId="3E7DB50E" w:rsidR="00D03EA2" w:rsidRPr="0000316F" w:rsidRDefault="00D03EA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00316F">
              <w:rPr>
                <w:rFonts w:hint="eastAsia"/>
                <w:b w:val="0"/>
                <w:sz w:val="22"/>
                <w:szCs w:val="22"/>
                <w:lang w:eastAsia="zh-CN"/>
              </w:rPr>
              <w:t>N</w:t>
            </w:r>
            <w:r w:rsidRPr="0000316F">
              <w:rPr>
                <w:b w:val="0"/>
                <w:sz w:val="22"/>
                <w:szCs w:val="22"/>
                <w:lang w:eastAsia="zh-CN"/>
              </w:rPr>
              <w:t>ing Gao</w:t>
            </w:r>
          </w:p>
        </w:tc>
        <w:tc>
          <w:tcPr>
            <w:tcW w:w="1684" w:type="dxa"/>
            <w:vMerge/>
            <w:vAlign w:val="center"/>
          </w:tcPr>
          <w:p w14:paraId="4C00A005" w14:textId="77777777" w:rsidR="00D03EA2" w:rsidRPr="0000316F" w:rsidRDefault="00D03EA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4F07B90E" w14:textId="77777777" w:rsidR="00D03EA2" w:rsidRPr="0000316F" w:rsidRDefault="00D03EA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765334BC" w14:textId="77777777" w:rsidR="00D03EA2" w:rsidRPr="0000316F" w:rsidRDefault="00D03EA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14:paraId="711B0AA7" w14:textId="77777777" w:rsidR="00D03EA2" w:rsidRPr="0000316F" w:rsidRDefault="00D03EA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  <w:tr w:rsidR="00C62B46" w:rsidRPr="0000316F" w14:paraId="3C4FE181" w14:textId="77777777" w:rsidTr="006E5E9C">
        <w:trPr>
          <w:trHeight w:val="287"/>
          <w:jc w:val="center"/>
        </w:trPr>
        <w:tc>
          <w:tcPr>
            <w:tcW w:w="1791" w:type="dxa"/>
            <w:vAlign w:val="center"/>
          </w:tcPr>
          <w:p w14:paraId="4AEB64FD" w14:textId="77182F19" w:rsidR="00C62B46" w:rsidRPr="0000316F" w:rsidRDefault="00C62B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00316F">
              <w:rPr>
                <w:b w:val="0"/>
                <w:sz w:val="22"/>
                <w:szCs w:val="22"/>
              </w:rPr>
              <w:t>Insun</w:t>
            </w:r>
            <w:proofErr w:type="spellEnd"/>
            <w:r w:rsidRPr="0000316F">
              <w:rPr>
                <w:b w:val="0"/>
                <w:sz w:val="22"/>
                <w:szCs w:val="22"/>
              </w:rPr>
              <w:t xml:space="preserve"> Jang</w:t>
            </w:r>
          </w:p>
        </w:tc>
        <w:tc>
          <w:tcPr>
            <w:tcW w:w="1684" w:type="dxa"/>
            <w:vMerge w:val="restart"/>
            <w:vAlign w:val="center"/>
          </w:tcPr>
          <w:p w14:paraId="438E0A90" w14:textId="1D4213FF" w:rsidR="00C62B46" w:rsidRPr="0000316F" w:rsidRDefault="00C62B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00316F">
              <w:rPr>
                <w:b w:val="0"/>
                <w:sz w:val="22"/>
                <w:szCs w:val="22"/>
              </w:rPr>
              <w:t>LG Electronics</w:t>
            </w:r>
          </w:p>
        </w:tc>
        <w:tc>
          <w:tcPr>
            <w:tcW w:w="1824" w:type="dxa"/>
            <w:vAlign w:val="center"/>
          </w:tcPr>
          <w:p w14:paraId="3B38092F" w14:textId="77777777" w:rsidR="00C62B46" w:rsidRPr="0000316F" w:rsidRDefault="00C62B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6FC525DD" w14:textId="77777777" w:rsidR="00C62B46" w:rsidRPr="0000316F" w:rsidRDefault="00C62B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14:paraId="794A8EA9" w14:textId="55A822F7" w:rsidR="00C62B46" w:rsidRPr="0000316F" w:rsidRDefault="00C62B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00316F">
              <w:rPr>
                <w:b w:val="0"/>
                <w:sz w:val="22"/>
                <w:szCs w:val="22"/>
              </w:rPr>
              <w:t>insun.jang@lge.com</w:t>
            </w:r>
          </w:p>
        </w:tc>
      </w:tr>
      <w:tr w:rsidR="00C62B46" w:rsidRPr="0000316F" w14:paraId="0CD1D0B1" w14:textId="77777777" w:rsidTr="006E5E9C">
        <w:trPr>
          <w:trHeight w:val="302"/>
          <w:jc w:val="center"/>
        </w:trPr>
        <w:tc>
          <w:tcPr>
            <w:tcW w:w="1791" w:type="dxa"/>
            <w:vAlign w:val="center"/>
          </w:tcPr>
          <w:p w14:paraId="0D41C398" w14:textId="653769B8" w:rsidR="00C62B46" w:rsidRPr="0000316F" w:rsidRDefault="00C62B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00316F">
              <w:rPr>
                <w:b w:val="0"/>
                <w:sz w:val="22"/>
                <w:szCs w:val="22"/>
              </w:rPr>
              <w:t>Sang Kim</w:t>
            </w:r>
          </w:p>
        </w:tc>
        <w:tc>
          <w:tcPr>
            <w:tcW w:w="1684" w:type="dxa"/>
            <w:vMerge/>
            <w:vAlign w:val="center"/>
          </w:tcPr>
          <w:p w14:paraId="2EF961A8" w14:textId="77777777" w:rsidR="00C62B46" w:rsidRPr="0000316F" w:rsidRDefault="00C62B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14:paraId="30242FCA" w14:textId="77777777" w:rsidR="00C62B46" w:rsidRPr="0000316F" w:rsidRDefault="00C62B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774A3657" w14:textId="77777777" w:rsidR="00C62B46" w:rsidRPr="0000316F" w:rsidRDefault="00C62B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14:paraId="75139F43" w14:textId="6B208E30" w:rsidR="00C62B46" w:rsidRPr="0000316F" w:rsidRDefault="00C62B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00316F">
              <w:rPr>
                <w:b w:val="0"/>
                <w:sz w:val="22"/>
                <w:szCs w:val="22"/>
              </w:rPr>
              <w:t>sanggook.kim@lge.com</w:t>
            </w:r>
          </w:p>
        </w:tc>
      </w:tr>
      <w:tr w:rsidR="00C62B46" w:rsidRPr="0000316F" w14:paraId="1C68B8B5" w14:textId="77777777" w:rsidTr="006E5E9C">
        <w:trPr>
          <w:trHeight w:val="306"/>
          <w:jc w:val="center"/>
        </w:trPr>
        <w:tc>
          <w:tcPr>
            <w:tcW w:w="1791" w:type="dxa"/>
            <w:vAlign w:val="center"/>
          </w:tcPr>
          <w:p w14:paraId="4C82B61C" w14:textId="29F635C7" w:rsidR="00C62B46" w:rsidRPr="0000316F" w:rsidRDefault="00C62B46" w:rsidP="00C62B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00316F">
              <w:rPr>
                <w:b w:val="0"/>
                <w:sz w:val="22"/>
                <w:szCs w:val="22"/>
              </w:rPr>
              <w:t>Dibakar</w:t>
            </w:r>
            <w:proofErr w:type="spellEnd"/>
            <w:r w:rsidRPr="0000316F">
              <w:rPr>
                <w:b w:val="0"/>
                <w:sz w:val="22"/>
                <w:szCs w:val="22"/>
              </w:rPr>
              <w:t xml:space="preserve"> Das</w:t>
            </w:r>
          </w:p>
        </w:tc>
        <w:tc>
          <w:tcPr>
            <w:tcW w:w="1684" w:type="dxa"/>
            <w:vAlign w:val="center"/>
          </w:tcPr>
          <w:p w14:paraId="4D913BFE" w14:textId="6579E6D6" w:rsidR="00C62B46" w:rsidRPr="0000316F" w:rsidRDefault="00C62B46" w:rsidP="00C62B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00316F">
              <w:rPr>
                <w:rFonts w:hint="eastAsia"/>
                <w:b w:val="0"/>
                <w:sz w:val="22"/>
                <w:szCs w:val="22"/>
                <w:lang w:eastAsia="zh-CN"/>
              </w:rPr>
              <w:t>I</w:t>
            </w:r>
            <w:r w:rsidRPr="0000316F">
              <w:rPr>
                <w:b w:val="0"/>
                <w:sz w:val="22"/>
                <w:szCs w:val="22"/>
                <w:lang w:eastAsia="zh-CN"/>
              </w:rPr>
              <w:t>ntel</w:t>
            </w:r>
          </w:p>
        </w:tc>
        <w:tc>
          <w:tcPr>
            <w:tcW w:w="1824" w:type="dxa"/>
            <w:vAlign w:val="center"/>
          </w:tcPr>
          <w:p w14:paraId="57B767B9" w14:textId="77777777" w:rsidR="00C62B46" w:rsidRPr="0000316F" w:rsidRDefault="00C62B46" w:rsidP="00C62B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321305FD" w14:textId="77777777" w:rsidR="00C62B46" w:rsidRPr="0000316F" w:rsidRDefault="00C62B46" w:rsidP="00C62B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14:paraId="1ED99653" w14:textId="547601CE" w:rsidR="00C62B46" w:rsidRPr="0000316F" w:rsidRDefault="00C62B46" w:rsidP="00C62B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00316F">
              <w:rPr>
                <w:b w:val="0"/>
                <w:sz w:val="22"/>
                <w:szCs w:val="22"/>
              </w:rPr>
              <w:t>Dibakar.das@intel.com</w:t>
            </w:r>
          </w:p>
        </w:tc>
      </w:tr>
    </w:tbl>
    <w:p w14:paraId="5F8AF24B" w14:textId="77777777" w:rsidR="00CA09B2" w:rsidRDefault="00F12355">
      <w:pPr>
        <w:pStyle w:val="T1"/>
        <w:spacing w:after="120"/>
        <w:rPr>
          <w:sz w:val="22"/>
        </w:rPr>
      </w:pPr>
      <w:r>
        <w:rPr>
          <w:noProof/>
        </w:rPr>
        <w:pict w14:anchorId="5584843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55.9pt;z-index:1;mso-position-horizontal-relative:text;mso-position-vertical-relative:text" o:allowincell="f" stroked="f">
            <v:textbox style="mso-next-textbox:#_x0000_s1027">
              <w:txbxContent>
                <w:p w14:paraId="2E453B4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0FF5B0C" w14:textId="6B7B8D3F" w:rsidR="0029020B" w:rsidRDefault="009A7E36">
                  <w:pPr>
                    <w:jc w:val="both"/>
                  </w:pPr>
                  <w:r>
                    <w:t xml:space="preserve">This document includes proposed draft text for </w:t>
                  </w:r>
                  <w:r w:rsidR="001D4B31">
                    <w:t>the “</w:t>
                  </w:r>
                  <w:r w:rsidR="00830DE8" w:rsidRPr="00830DE8">
                    <w:t>Sensing measurement setup termination</w:t>
                  </w:r>
                  <w:r w:rsidR="001D4B31">
                    <w:t xml:space="preserve">” sub-clause as defined in </w:t>
                  </w:r>
                  <w:proofErr w:type="spellStart"/>
                  <w:r w:rsidR="001D4B31">
                    <w:t>TGbf’s</w:t>
                  </w:r>
                  <w:proofErr w:type="spellEnd"/>
                  <w:r w:rsidR="001D4B31">
                    <w:t xml:space="preserve"> SFD.</w:t>
                  </w:r>
                </w:p>
                <w:p w14:paraId="7DE6940F" w14:textId="11CAEC21" w:rsidR="00A568D1" w:rsidRDefault="00A568D1">
                  <w:pPr>
                    <w:jc w:val="both"/>
                  </w:pPr>
                </w:p>
                <w:p w14:paraId="0227DF6B" w14:textId="77777777" w:rsidR="006E1886" w:rsidRDefault="006E1886">
                  <w:pPr>
                    <w:jc w:val="both"/>
                  </w:pPr>
                </w:p>
                <w:p w14:paraId="034FD017" w14:textId="27EEA161" w:rsidR="00A568D1" w:rsidRDefault="00A568D1">
                  <w:pPr>
                    <w:jc w:val="both"/>
                  </w:pPr>
                </w:p>
                <w:p w14:paraId="08B1C15D" w14:textId="26CA7DC5" w:rsidR="00A568D1" w:rsidRPr="00A568D1" w:rsidRDefault="00A568D1">
                  <w:pPr>
                    <w:jc w:val="both"/>
                    <w:rPr>
                      <w:b/>
                    </w:rPr>
                  </w:pPr>
                  <w:r w:rsidRPr="00A568D1">
                    <w:rPr>
                      <w:b/>
                    </w:rPr>
                    <w:t>Revision history:</w:t>
                  </w:r>
                </w:p>
                <w:p w14:paraId="4147C27D" w14:textId="3A461925" w:rsidR="00A568D1" w:rsidRDefault="00A568D1" w:rsidP="00A568D1">
                  <w:pPr>
                    <w:numPr>
                      <w:ilvl w:val="0"/>
                      <w:numId w:val="2"/>
                    </w:numPr>
                    <w:jc w:val="both"/>
                  </w:pPr>
                  <w:r>
                    <w:rPr>
                      <w:lang w:eastAsia="zh-CN"/>
                    </w:rPr>
                    <w:t>r</w:t>
                  </w:r>
                  <w:r>
                    <w:t xml:space="preserve">0: </w:t>
                  </w:r>
                  <w:r w:rsidRPr="00A568D1">
                    <w:t>Initial version.</w:t>
                  </w:r>
                </w:p>
              </w:txbxContent>
            </v:textbox>
          </v:shape>
        </w:pict>
      </w:r>
    </w:p>
    <w:p w14:paraId="2207E205" w14:textId="42B90608" w:rsidR="00BF2955" w:rsidRDefault="00CA09B2" w:rsidP="008C47D4">
      <w:pPr>
        <w:rPr>
          <w:b/>
          <w:bCs/>
          <w:u w:val="single"/>
        </w:rPr>
      </w:pPr>
      <w:r>
        <w:br w:type="page"/>
      </w:r>
      <w:r w:rsidR="008C47D4" w:rsidRPr="008C47D4">
        <w:rPr>
          <w:b/>
          <w:bCs/>
          <w:u w:val="single"/>
        </w:rPr>
        <w:lastRenderedPageBreak/>
        <w:t>Current SFD text related to this topic:</w:t>
      </w:r>
    </w:p>
    <w:p w14:paraId="67DE03E3" w14:textId="77777777" w:rsidR="008C47D4" w:rsidRDefault="008C47D4" w:rsidP="008C47D4">
      <w:pPr>
        <w:pStyle w:val="3"/>
      </w:pPr>
      <w:r>
        <w:t>7.1.5 Sensing measurement setup termination</w:t>
      </w:r>
    </w:p>
    <w:p w14:paraId="4B481C7E" w14:textId="77777777" w:rsidR="008C47D4" w:rsidRDefault="008C47D4" w:rsidP="008C47D4"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35, </w:t>
      </w:r>
      <w:r w:rsidRPr="006277F4">
        <w:rPr>
          <w:color w:val="4472C4"/>
        </w:rPr>
        <w:t>21/</w:t>
      </w:r>
      <w:r>
        <w:rPr>
          <w:color w:val="4472C4"/>
        </w:rPr>
        <w:t>1701r1</w:t>
      </w:r>
      <w:r w:rsidRPr="006806B5">
        <w:rPr>
          <w:color w:val="4472C4"/>
        </w:rPr>
        <w:t>)</w:t>
      </w:r>
      <w:r>
        <w:rPr>
          <w:color w:val="4472C4"/>
        </w:rPr>
        <w:t xml:space="preserve"> </w:t>
      </w:r>
      <w:r>
        <w:t>The following holds for sensing measurement setup termination:</w:t>
      </w:r>
    </w:p>
    <w:p w14:paraId="2879DF5F" w14:textId="77777777" w:rsidR="008C47D4" w:rsidRDefault="008C47D4" w:rsidP="008C47D4">
      <w:pPr>
        <w:numPr>
          <w:ilvl w:val="0"/>
          <w:numId w:val="3"/>
        </w:numPr>
      </w:pPr>
      <w:r>
        <w:t>The device keeps active the established sensing measurement setup identified with the Measurement Setup ID until it is terminated.</w:t>
      </w:r>
    </w:p>
    <w:p w14:paraId="667B11EE" w14:textId="77777777" w:rsidR="008C47D4" w:rsidRDefault="008C47D4" w:rsidP="008C47D4">
      <w:pPr>
        <w:numPr>
          <w:ilvl w:val="0"/>
          <w:numId w:val="3"/>
        </w:numPr>
      </w:pPr>
      <w:r>
        <w:t>Termination of the sensing measurement setup identified with the Measurement Setup ID by one device does not impact the activity of this sensing measurement setup of another device(s)/session(s).</w:t>
      </w:r>
    </w:p>
    <w:p w14:paraId="1A6BD02C" w14:textId="77777777" w:rsidR="008C47D4" w:rsidRDefault="008C47D4" w:rsidP="008C47D4">
      <w:pPr>
        <w:numPr>
          <w:ilvl w:val="0"/>
          <w:numId w:val="3"/>
        </w:numPr>
      </w:pPr>
      <w:r>
        <w:t>Termination of the sensing measurement setup identified with one Measurement Setup ID does not impact the device/session activity of another sensing measurement setup with a different Measurement Setup ID.</w:t>
      </w:r>
    </w:p>
    <w:p w14:paraId="351DF35D" w14:textId="77777777" w:rsidR="008C47D4" w:rsidRDefault="008C47D4" w:rsidP="008C47D4">
      <w:pPr>
        <w:numPr>
          <w:ilvl w:val="0"/>
          <w:numId w:val="3"/>
        </w:numPr>
      </w:pPr>
      <w:r>
        <w:t>The sensing initiator and/or the sensing responder may initiate termination of the sensing measurement setup.</w:t>
      </w:r>
    </w:p>
    <w:p w14:paraId="590E0648" w14:textId="77777777" w:rsidR="008C47D4" w:rsidRDefault="008C47D4" w:rsidP="008C47D4">
      <w:pPr>
        <w:numPr>
          <w:ilvl w:val="0"/>
          <w:numId w:val="3"/>
        </w:numPr>
      </w:pPr>
      <w:r>
        <w:t>A handshake between the sensing initiator and the sensing responder and/or expiration of the predefined inactivity time may terminate the sensing measurement setup. (Detailed protocol is TBD.)</w:t>
      </w:r>
    </w:p>
    <w:p w14:paraId="0A13EDA6" w14:textId="77777777" w:rsidR="008C47D4" w:rsidRDefault="008C47D4" w:rsidP="008C47D4">
      <w:pPr>
        <w:numPr>
          <w:ilvl w:val="0"/>
          <w:numId w:val="3"/>
        </w:numPr>
      </w:pPr>
      <w:r>
        <w:t>The sensing initiator and the sensing responder may release the resources they allocated to store the setup after the termination of the sensing measurement setup.</w:t>
      </w:r>
    </w:p>
    <w:p w14:paraId="3990A597" w14:textId="77777777" w:rsidR="008C47D4" w:rsidRDefault="008C47D4" w:rsidP="008C47D4">
      <w:pPr>
        <w:numPr>
          <w:ilvl w:val="0"/>
          <w:numId w:val="3"/>
        </w:numPr>
      </w:pPr>
      <w:r>
        <w:t>The sensing initiator shall not indicate the Measurement setup ID of the terminated sensing measurement setup in the sensing measurement instances it initiates.</w:t>
      </w:r>
    </w:p>
    <w:p w14:paraId="7D2D52BD" w14:textId="77777777" w:rsidR="008C47D4" w:rsidRDefault="008C47D4" w:rsidP="008C47D4">
      <w:pPr>
        <w:numPr>
          <w:ilvl w:val="0"/>
          <w:numId w:val="3"/>
        </w:numPr>
      </w:pPr>
      <w:r>
        <w:t>The sensing initiator may ignore the pending report(s) indicated to belong to the terminated sensing measurement setup.</w:t>
      </w:r>
    </w:p>
    <w:p w14:paraId="4ECC2867" w14:textId="77777777" w:rsidR="008C47D4" w:rsidRDefault="008C47D4" w:rsidP="008C47D4">
      <w:pPr>
        <w:numPr>
          <w:ilvl w:val="0"/>
          <w:numId w:val="3"/>
        </w:numPr>
      </w:pPr>
      <w:r>
        <w:t>The sensing responder should not respond to request/poll/trigger that all sensing measurement setups it indicates are terminated.</w:t>
      </w:r>
    </w:p>
    <w:p w14:paraId="0936C81F" w14:textId="77777777" w:rsidR="008C47D4" w:rsidRDefault="008C47D4" w:rsidP="008C47D4">
      <w:pPr>
        <w:numPr>
          <w:ilvl w:val="0"/>
          <w:numId w:val="3"/>
        </w:numPr>
      </w:pPr>
      <w:r>
        <w:t>The sensing responder should not transmit the report that indicates the terminated sensing measurement setup.</w:t>
      </w:r>
    </w:p>
    <w:p w14:paraId="3BA66536" w14:textId="77777777" w:rsidR="008C47D4" w:rsidRPr="002C2669" w:rsidRDefault="008C47D4" w:rsidP="008C47D4">
      <w:pPr>
        <w:rPr>
          <w:iCs/>
        </w:rPr>
      </w:pPr>
    </w:p>
    <w:p w14:paraId="7A12CD6C" w14:textId="179F0CB5" w:rsidR="00DD6E22" w:rsidRPr="008C47D4" w:rsidRDefault="008C47D4">
      <w:pPr>
        <w:rPr>
          <w:b/>
          <w:bCs/>
          <w:u w:val="single"/>
        </w:rPr>
      </w:pPr>
      <w:r w:rsidRPr="008C47D4">
        <w:rPr>
          <w:b/>
          <w:bCs/>
          <w:u w:val="single"/>
        </w:rPr>
        <w:t>Proposed Spec Text Contribution</w:t>
      </w:r>
      <w:r w:rsidR="004D476E">
        <w:rPr>
          <w:b/>
          <w:bCs/>
          <w:u w:val="single"/>
        </w:rPr>
        <w:t>:</w:t>
      </w:r>
    </w:p>
    <w:p w14:paraId="4895C715" w14:textId="77777777" w:rsidR="008C47D4" w:rsidRPr="002C2669" w:rsidRDefault="008C47D4">
      <w:pPr>
        <w:rPr>
          <w:iCs/>
        </w:rPr>
      </w:pPr>
    </w:p>
    <w:p w14:paraId="6D06CDF9" w14:textId="1387EE3B" w:rsidR="008C47D4" w:rsidRDefault="00BF2955" w:rsidP="008C47D4">
      <w:pPr>
        <w:rPr>
          <w:i/>
          <w:iCs/>
          <w:highlight w:val="yellow"/>
        </w:rPr>
      </w:pPr>
      <w:r w:rsidRPr="006410A8">
        <w:rPr>
          <w:i/>
          <w:iCs/>
          <w:highlight w:val="yellow"/>
        </w:rPr>
        <w:t xml:space="preserve">Editor: Include the text below </w:t>
      </w:r>
      <w:r w:rsidR="00A11941" w:rsidRPr="006410A8">
        <w:rPr>
          <w:i/>
          <w:iCs/>
          <w:highlight w:val="yellow"/>
        </w:rPr>
        <w:t xml:space="preserve">in Clause </w:t>
      </w:r>
      <w:r w:rsidR="008C47D4">
        <w:rPr>
          <w:rFonts w:hint="eastAsia"/>
          <w:i/>
          <w:iCs/>
          <w:highlight w:val="yellow"/>
          <w:lang w:eastAsia="zh-CN"/>
        </w:rPr>
        <w:t>7</w:t>
      </w:r>
      <w:r w:rsidR="00A11941" w:rsidRPr="006410A8">
        <w:rPr>
          <w:i/>
          <w:iCs/>
          <w:highlight w:val="yellow"/>
        </w:rPr>
        <w:t xml:space="preserve"> of </w:t>
      </w:r>
      <w:proofErr w:type="spellStart"/>
      <w:r w:rsidR="00A11941" w:rsidRPr="006410A8">
        <w:rPr>
          <w:i/>
          <w:iCs/>
          <w:highlight w:val="yellow"/>
        </w:rPr>
        <w:t>TGbf’s</w:t>
      </w:r>
      <w:proofErr w:type="spellEnd"/>
      <w:r w:rsidR="00A11941" w:rsidRPr="006410A8">
        <w:rPr>
          <w:i/>
          <w:iCs/>
          <w:highlight w:val="yellow"/>
        </w:rPr>
        <w:t xml:space="preserve"> </w:t>
      </w:r>
      <w:r w:rsidR="007372A7" w:rsidRPr="006410A8">
        <w:rPr>
          <w:i/>
          <w:iCs/>
          <w:highlight w:val="yellow"/>
        </w:rPr>
        <w:t>draft</w:t>
      </w:r>
    </w:p>
    <w:p w14:paraId="03DB2E27" w14:textId="77777777" w:rsidR="008C47D4" w:rsidRDefault="008C47D4" w:rsidP="008C47D4">
      <w:pPr>
        <w:rPr>
          <w:b/>
        </w:rPr>
      </w:pPr>
    </w:p>
    <w:p w14:paraId="41312996" w14:textId="3918B4C1" w:rsidR="008C47D4" w:rsidRPr="008C47D4" w:rsidRDefault="008C47D4" w:rsidP="008C47D4">
      <w:pPr>
        <w:rPr>
          <w:i/>
          <w:iCs/>
        </w:rPr>
      </w:pPr>
      <w:r w:rsidRPr="00D86D4F">
        <w:rPr>
          <w:b/>
        </w:rPr>
        <w:t>7.1.5 Sensing measurement setup termination</w:t>
      </w:r>
    </w:p>
    <w:p w14:paraId="49F6847F" w14:textId="5AAF6404" w:rsidR="001F695C" w:rsidRDefault="001F695C" w:rsidP="00681106"/>
    <w:p w14:paraId="3E8A2C65" w14:textId="0AEB0250" w:rsidR="002D50F5" w:rsidRDefault="002D50F5" w:rsidP="002D50F5">
      <w:r>
        <w:t xml:space="preserve">The </w:t>
      </w:r>
      <w:r w:rsidR="00BB7085">
        <w:t>sensing initiator and the sensing responder</w:t>
      </w:r>
      <w:r>
        <w:t xml:space="preserve"> keep active the established sensing measurement setup until it is terminated.</w:t>
      </w:r>
    </w:p>
    <w:p w14:paraId="159CE1AB" w14:textId="77777777" w:rsidR="002D50F5" w:rsidRPr="002D50F5" w:rsidRDefault="002D50F5" w:rsidP="00681106"/>
    <w:p w14:paraId="73F3794B" w14:textId="734C485E" w:rsidR="003642DB" w:rsidRDefault="00AC379C" w:rsidP="00AC379C">
      <w:r>
        <w:t>The sensing initiator may initiate termination of the sensing measurement setup</w:t>
      </w:r>
      <w:r w:rsidR="00AB7CB7">
        <w:t>(</w:t>
      </w:r>
      <w:r w:rsidR="00D254B1">
        <w:t>s</w:t>
      </w:r>
      <w:r w:rsidR="00AB7CB7">
        <w:t>)</w:t>
      </w:r>
      <w:r w:rsidR="00D254B1" w:rsidRPr="00D254B1">
        <w:t xml:space="preserve"> by </w:t>
      </w:r>
      <w:proofErr w:type="spellStart"/>
      <w:r w:rsidR="00D254B1" w:rsidRPr="00D254B1">
        <w:t>transmiting</w:t>
      </w:r>
      <w:proofErr w:type="spellEnd"/>
      <w:r w:rsidR="00D254B1" w:rsidRPr="00D254B1">
        <w:t xml:space="preserve"> a Sensing Measurement Setup Termination frame</w:t>
      </w:r>
      <w:r w:rsidR="00AB7CB7" w:rsidRPr="00AB7CB7">
        <w:t xml:space="preserve"> </w:t>
      </w:r>
      <w:r w:rsidR="00AB7CB7" w:rsidRPr="002E154F">
        <w:t>with the Measurement Setup ID</w:t>
      </w:r>
      <w:r w:rsidR="00AB7CB7">
        <w:t>(s) of the measurement setup to be terminated</w:t>
      </w:r>
      <w:r w:rsidR="003642DB">
        <w:t xml:space="preserve"> to the </w:t>
      </w:r>
      <w:r w:rsidR="003642DB" w:rsidRPr="003642DB">
        <w:t>sensing responder</w:t>
      </w:r>
      <w:r w:rsidR="00D254B1" w:rsidRPr="00D254B1">
        <w:t>.</w:t>
      </w:r>
      <w:r w:rsidR="00D254B1">
        <w:t xml:space="preserve"> </w:t>
      </w:r>
      <w:r w:rsidR="002D50F5">
        <w:t xml:space="preserve">The </w:t>
      </w:r>
      <w:r w:rsidR="002D50F5" w:rsidRPr="002D50F5">
        <w:t>sensing responder</w:t>
      </w:r>
      <w:r w:rsidR="002D50F5">
        <w:t xml:space="preserve"> </w:t>
      </w:r>
      <w:r w:rsidR="00646FC6">
        <w:t xml:space="preserve">successfully </w:t>
      </w:r>
      <w:r w:rsidR="002D50F5">
        <w:t>receive</w:t>
      </w:r>
      <w:r w:rsidR="00646FC6">
        <w:rPr>
          <w:rFonts w:hint="eastAsia"/>
          <w:lang w:eastAsia="zh-CN"/>
        </w:rPr>
        <w:t>d</w:t>
      </w:r>
      <w:r w:rsidR="002D50F5">
        <w:t xml:space="preserve"> the </w:t>
      </w:r>
      <w:r w:rsidR="002D50F5" w:rsidRPr="002D50F5">
        <w:t>Sensing Measurement Setup Termination frame</w:t>
      </w:r>
      <w:r w:rsidR="002D50F5">
        <w:t xml:space="preserve"> </w:t>
      </w:r>
      <w:r w:rsidR="00227AA7">
        <w:t>shall</w:t>
      </w:r>
      <w:r w:rsidR="002D50F5">
        <w:t xml:space="preserve"> respond with an Ack frame.</w:t>
      </w:r>
    </w:p>
    <w:p w14:paraId="3D5F820A" w14:textId="77777777" w:rsidR="003642DB" w:rsidRDefault="003642DB" w:rsidP="00AC379C"/>
    <w:p w14:paraId="2B6F6FCA" w14:textId="1164D24D" w:rsidR="007364D7" w:rsidRDefault="003642DB" w:rsidP="00AC379C">
      <w:r>
        <w:t xml:space="preserve">The sensing responder may initiate termination of </w:t>
      </w:r>
      <w:r w:rsidR="004D1545">
        <w:rPr>
          <w:rFonts w:hint="eastAsia"/>
          <w:lang w:eastAsia="zh-CN"/>
        </w:rPr>
        <w:t>the</w:t>
      </w:r>
      <w:r>
        <w:t xml:space="preserve"> </w:t>
      </w:r>
      <w:r w:rsidR="004D1545">
        <w:t xml:space="preserve">sensing </w:t>
      </w:r>
      <w:r>
        <w:t>measurement setup</w:t>
      </w:r>
      <w:r w:rsidR="004D1545">
        <w:t>(</w:t>
      </w:r>
      <w:r>
        <w:t>s</w:t>
      </w:r>
      <w:r w:rsidR="004D1545">
        <w:t>)</w:t>
      </w:r>
      <w:r w:rsidR="00D93112" w:rsidRPr="00D93112">
        <w:t xml:space="preserve"> </w:t>
      </w:r>
      <w:r w:rsidR="00646FC6" w:rsidRPr="00D254B1">
        <w:t xml:space="preserve">by </w:t>
      </w:r>
      <w:proofErr w:type="spellStart"/>
      <w:r w:rsidR="00646FC6" w:rsidRPr="00D254B1">
        <w:t>transmiting</w:t>
      </w:r>
      <w:proofErr w:type="spellEnd"/>
      <w:r w:rsidR="00646FC6" w:rsidRPr="00D254B1">
        <w:t xml:space="preserve"> a Sensing Measurement Setup Termination </w:t>
      </w:r>
      <w:r w:rsidR="0058742A">
        <w:t xml:space="preserve">Request </w:t>
      </w:r>
      <w:r w:rsidR="00646FC6" w:rsidRPr="00D254B1">
        <w:t>frame</w:t>
      </w:r>
      <w:r w:rsidR="00646FC6" w:rsidRPr="00AB7CB7">
        <w:t xml:space="preserve"> </w:t>
      </w:r>
      <w:r w:rsidR="00646FC6" w:rsidRPr="002E154F">
        <w:t>with the Measurement Setup ID</w:t>
      </w:r>
      <w:r w:rsidR="00646FC6">
        <w:t>(s) of the measurement setup to be terminated to the</w:t>
      </w:r>
      <w:r>
        <w:t xml:space="preserve"> sensing initiator</w:t>
      </w:r>
      <w:r w:rsidRPr="00D254B1">
        <w:t>.</w:t>
      </w:r>
      <w:r w:rsidR="002D50F5" w:rsidRPr="002D50F5">
        <w:t xml:space="preserve"> The sensing </w:t>
      </w:r>
      <w:r w:rsidR="002D50F5">
        <w:t>initiator</w:t>
      </w:r>
      <w:r w:rsidR="004D1545" w:rsidRPr="004D1545">
        <w:t xml:space="preserve"> </w:t>
      </w:r>
      <w:r w:rsidR="004D1545">
        <w:t>successfully receive</w:t>
      </w:r>
      <w:r w:rsidR="004D1545">
        <w:rPr>
          <w:rFonts w:hint="eastAsia"/>
          <w:lang w:eastAsia="zh-CN"/>
        </w:rPr>
        <w:t>d</w:t>
      </w:r>
      <w:r w:rsidR="002D50F5" w:rsidRPr="002D50F5">
        <w:t xml:space="preserve"> the Sensing Measurement Setup Termination </w:t>
      </w:r>
      <w:r w:rsidR="0058742A">
        <w:t xml:space="preserve">Request </w:t>
      </w:r>
      <w:r w:rsidR="002D50F5" w:rsidRPr="002D50F5">
        <w:t xml:space="preserve">frame </w:t>
      </w:r>
      <w:r w:rsidR="00227AA7">
        <w:t>shall</w:t>
      </w:r>
      <w:r w:rsidR="002D50F5" w:rsidRPr="002D50F5">
        <w:t xml:space="preserve"> respond with </w:t>
      </w:r>
      <w:r w:rsidR="00155A3E" w:rsidRPr="002D50F5">
        <w:t>a</w:t>
      </w:r>
      <w:r w:rsidR="002D50F5" w:rsidRPr="002D50F5">
        <w:t xml:space="preserve"> </w:t>
      </w:r>
      <w:r w:rsidR="0058742A" w:rsidRPr="002D50F5">
        <w:t>Sensing Measurement Setup Termination</w:t>
      </w:r>
      <w:r w:rsidR="002D50F5" w:rsidRPr="002D50F5">
        <w:t xml:space="preserve"> frame</w:t>
      </w:r>
      <w:r w:rsidR="0098365F">
        <w:t xml:space="preserve"> to </w:t>
      </w:r>
      <w:r w:rsidR="0038705E">
        <w:t>terminate the sensing measurement setup</w:t>
      </w:r>
      <w:r w:rsidR="002049BC">
        <w:t>(s)</w:t>
      </w:r>
      <w:r w:rsidR="0038705E">
        <w:t xml:space="preserve"> </w:t>
      </w:r>
      <w:r w:rsidR="0038705E">
        <w:t>identified with the Measurement Setup ID</w:t>
      </w:r>
      <w:r w:rsidR="002049BC">
        <w:t xml:space="preserve">(s) contained in the </w:t>
      </w:r>
      <w:r w:rsidR="002049BC" w:rsidRPr="002D50F5">
        <w:t>Sensing Measurement Setup Termination frame</w:t>
      </w:r>
      <w:r w:rsidR="002D50F5" w:rsidRPr="002D50F5">
        <w:t>.</w:t>
      </w:r>
      <w:r w:rsidR="004D1545" w:rsidDel="007364D7">
        <w:t xml:space="preserve"> </w:t>
      </w:r>
      <w:bookmarkStart w:id="0" w:name="_GoBack"/>
      <w:bookmarkEnd w:id="0"/>
    </w:p>
    <w:p w14:paraId="1B5FDEBD" w14:textId="4E421EAA" w:rsidR="004D1545" w:rsidRDefault="004D1545" w:rsidP="00AC379C">
      <w:pPr>
        <w:rPr>
          <w:strike/>
        </w:rPr>
      </w:pPr>
    </w:p>
    <w:p w14:paraId="599F316E" w14:textId="75CBC95D" w:rsidR="00A17656" w:rsidRPr="00A17656" w:rsidRDefault="00A17656" w:rsidP="00AC379C">
      <w:r w:rsidRPr="00A17656">
        <w:rPr>
          <w:rFonts w:hint="eastAsia"/>
          <w:lang w:eastAsia="zh-CN"/>
        </w:rPr>
        <w:t>Note</w:t>
      </w:r>
      <w:r>
        <w:rPr>
          <w:lang w:eastAsia="zh-CN"/>
        </w:rPr>
        <w:t xml:space="preserve">: The formats of </w:t>
      </w:r>
      <w:r w:rsidRPr="00D254B1">
        <w:t>Sensing Measurement Setup Termination frame</w:t>
      </w:r>
      <w:r>
        <w:t xml:space="preserve"> and </w:t>
      </w:r>
      <w:r w:rsidRPr="00D254B1">
        <w:t xml:space="preserve">Sensing Measurement Setup Termination </w:t>
      </w:r>
      <w:r>
        <w:t xml:space="preserve">Request </w:t>
      </w:r>
      <w:r w:rsidRPr="00D254B1">
        <w:t>frame</w:t>
      </w:r>
      <w:r>
        <w:t xml:space="preserve"> are TBD.</w:t>
      </w:r>
    </w:p>
    <w:p w14:paraId="438AA4EC" w14:textId="77777777" w:rsidR="00A17656" w:rsidRDefault="00A17656" w:rsidP="00AC379C">
      <w:pPr>
        <w:rPr>
          <w:strike/>
        </w:rPr>
      </w:pPr>
    </w:p>
    <w:p w14:paraId="25DAD669" w14:textId="5A11D700" w:rsidR="00AC379C" w:rsidRDefault="00B366FC" w:rsidP="00AC379C">
      <w:r>
        <w:lastRenderedPageBreak/>
        <w:t>E</w:t>
      </w:r>
      <w:r w:rsidR="00AC379C">
        <w:t>xpiration of the predefined inactivity time may terminate the sensing measurement setup. (Detailed protocol is TBD.)</w:t>
      </w:r>
    </w:p>
    <w:p w14:paraId="3A8B3D8E" w14:textId="0AC55020" w:rsidR="003C32C9" w:rsidRDefault="003C32C9" w:rsidP="008D390B"/>
    <w:p w14:paraId="67F55476" w14:textId="16C45B79" w:rsidR="008D390B" w:rsidRDefault="003C32C9" w:rsidP="008D390B">
      <w:r>
        <w:t xml:space="preserve">The sensing initiator and the sensing responder may release the resources they allocated to store the </w:t>
      </w:r>
      <w:r w:rsidR="0061570E" w:rsidRPr="0061570E">
        <w:t xml:space="preserve">sensing measurement </w:t>
      </w:r>
      <w:r>
        <w:t>setup after the termination of the sensing measurement setup.</w:t>
      </w:r>
      <w:r w:rsidR="00603C16">
        <w:t xml:space="preserve"> </w:t>
      </w:r>
      <w:r w:rsidR="008D390B">
        <w:t xml:space="preserve">Termination of the sensing measurement setup </w:t>
      </w:r>
      <w:bookmarkStart w:id="1" w:name="_Hlk93073482"/>
      <w:r w:rsidR="008D390B">
        <w:t xml:space="preserve">identified with the Measurement Setup ID </w:t>
      </w:r>
      <w:bookmarkEnd w:id="1"/>
      <w:r w:rsidR="008D390B">
        <w:t>by one device does not impact the activity of this sensing measurement setup of another device(s)/session(s).</w:t>
      </w:r>
      <w:r w:rsidR="00603C16">
        <w:t xml:space="preserve"> </w:t>
      </w:r>
      <w:r w:rsidR="008D390B">
        <w:t>Termination of the sensing measurement setup identified with one Measurement Setup ID does not impact the device/session activity of another sensing measurement setup with a different Measurement Setup ID.</w:t>
      </w:r>
    </w:p>
    <w:p w14:paraId="60001272" w14:textId="77777777" w:rsidR="008D390B" w:rsidRDefault="008D390B" w:rsidP="008D390B"/>
    <w:p w14:paraId="44DEAE0A" w14:textId="77777777" w:rsidR="0094093C" w:rsidRDefault="008D390B" w:rsidP="008D390B">
      <w:r>
        <w:t>The sensing initiator shall not indicate the Measurement setup ID of the terminated sensing measurement setup in the sensing measurement instances it initiates.</w:t>
      </w:r>
      <w:r w:rsidR="005F65D3">
        <w:t xml:space="preserve"> </w:t>
      </w:r>
      <w:r>
        <w:t>The sensing initiator may ignore the pending</w:t>
      </w:r>
      <w:r w:rsidR="00997DCF" w:rsidRPr="00997DCF">
        <w:t xml:space="preserve"> sensing measurement</w:t>
      </w:r>
      <w:r>
        <w:t xml:space="preserve"> report(s) indicated to belong to the terminated sensing measurement setup.</w:t>
      </w:r>
      <w:r w:rsidR="005F65D3">
        <w:t xml:space="preserve"> </w:t>
      </w:r>
    </w:p>
    <w:p w14:paraId="5CB81C8A" w14:textId="77777777" w:rsidR="0094093C" w:rsidRDefault="0094093C" w:rsidP="008D390B"/>
    <w:p w14:paraId="1B8B84F4" w14:textId="2DC79551" w:rsidR="00364680" w:rsidRDefault="008D390B" w:rsidP="008D390B">
      <w:r>
        <w:t>The sensing responder should not respond to request/poll/trigger that all sensing measurement setups it indicates are terminated.</w:t>
      </w:r>
      <w:r w:rsidR="005F65D3">
        <w:t xml:space="preserve"> </w:t>
      </w:r>
      <w:r>
        <w:t xml:space="preserve">The sensing responder should not transmit the </w:t>
      </w:r>
      <w:r w:rsidR="00997DCF" w:rsidRPr="00997DCF">
        <w:t xml:space="preserve">sensing measurement </w:t>
      </w:r>
      <w:r>
        <w:t>report that indicates the terminated sensing measurement setup.</w:t>
      </w:r>
    </w:p>
    <w:p w14:paraId="3ADD57A9" w14:textId="66C2D0F6" w:rsidR="006242B1" w:rsidRDefault="006242B1" w:rsidP="00427B02">
      <w:pPr>
        <w:rPr>
          <w:lang w:eastAsia="zh-CN"/>
        </w:rPr>
      </w:pPr>
    </w:p>
    <w:sectPr w:rsidR="006242B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A9612" w16cex:dateUtc="2022-01-13T20:14:00Z"/>
  <w16cex:commentExtensible w16cex:durableId="258A940A" w16cex:dateUtc="2022-01-13T20:05:00Z"/>
  <w16cex:commentExtensible w16cex:durableId="258A94DD" w16cex:dateUtc="2022-01-13T20:09:00Z"/>
  <w16cex:commentExtensible w16cex:durableId="258A94EA" w16cex:dateUtc="2022-01-13T20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9F631" w14:textId="77777777" w:rsidR="00F12355" w:rsidRDefault="00F12355">
      <w:r>
        <w:separator/>
      </w:r>
    </w:p>
  </w:endnote>
  <w:endnote w:type="continuationSeparator" w:id="0">
    <w:p w14:paraId="6071A2F7" w14:textId="77777777" w:rsidR="00F12355" w:rsidRDefault="00F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E1944" w14:textId="15E5BD73" w:rsidR="0029020B" w:rsidRDefault="00F12355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830DE8">
      <w:t>Pei Zhou</w:t>
    </w:r>
    <w:r w:rsidR="004779FF">
      <w:t xml:space="preserve"> </w:t>
    </w:r>
    <w:r>
      <w:fldChar w:fldCharType="end"/>
    </w:r>
    <w:r w:rsidR="00830DE8">
      <w:t>(OPPO)</w:t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7BA83" w14:textId="77777777" w:rsidR="00F12355" w:rsidRDefault="00F12355">
      <w:r>
        <w:separator/>
      </w:r>
    </w:p>
  </w:footnote>
  <w:footnote w:type="continuationSeparator" w:id="0">
    <w:p w14:paraId="09E6A93D" w14:textId="77777777" w:rsidR="00F12355" w:rsidRDefault="00F12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1EC7" w14:textId="6C6C504C" w:rsidR="0029020B" w:rsidRDefault="00F12355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C5427">
      <w:t>January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76365">
      <w:t>doc.: IEEE 802.11-</w:t>
    </w:r>
    <w:r w:rsidR="00BC5427">
      <w:t>22</w:t>
    </w:r>
    <w:r w:rsidR="00876365">
      <w:t>/</w:t>
    </w:r>
    <w:r w:rsidR="00830D3D">
      <w:rPr>
        <w:rFonts w:hint="eastAsia"/>
        <w:lang w:eastAsia="zh-CN"/>
      </w:rPr>
      <w:t>0126</w:t>
    </w:r>
    <w:r w:rsidR="00876365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96A59"/>
    <w:multiLevelType w:val="hybridMultilevel"/>
    <w:tmpl w:val="6F3CE426"/>
    <w:lvl w:ilvl="0" w:tplc="811A3ECE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67E14"/>
    <w:multiLevelType w:val="hybridMultilevel"/>
    <w:tmpl w:val="D922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365"/>
    <w:rsid w:val="0000316F"/>
    <w:rsid w:val="00013BF4"/>
    <w:rsid w:val="00032272"/>
    <w:rsid w:val="00036EA9"/>
    <w:rsid w:val="00073DC8"/>
    <w:rsid w:val="000749E8"/>
    <w:rsid w:val="000F7F8D"/>
    <w:rsid w:val="00113173"/>
    <w:rsid w:val="001311FF"/>
    <w:rsid w:val="001408EA"/>
    <w:rsid w:val="0014375D"/>
    <w:rsid w:val="00152024"/>
    <w:rsid w:val="0015372A"/>
    <w:rsid w:val="00155A3E"/>
    <w:rsid w:val="001678B8"/>
    <w:rsid w:val="001D4B31"/>
    <w:rsid w:val="001D723B"/>
    <w:rsid w:val="001F695C"/>
    <w:rsid w:val="00201029"/>
    <w:rsid w:val="002049BC"/>
    <w:rsid w:val="00227AA7"/>
    <w:rsid w:val="002300B2"/>
    <w:rsid w:val="00241C71"/>
    <w:rsid w:val="00272432"/>
    <w:rsid w:val="00273F06"/>
    <w:rsid w:val="0028618E"/>
    <w:rsid w:val="0029020B"/>
    <w:rsid w:val="002A7ACA"/>
    <w:rsid w:val="002B6F3C"/>
    <w:rsid w:val="002C2669"/>
    <w:rsid w:val="002D44BE"/>
    <w:rsid w:val="002D50F5"/>
    <w:rsid w:val="002E154F"/>
    <w:rsid w:val="002E1577"/>
    <w:rsid w:val="002F40F4"/>
    <w:rsid w:val="00307369"/>
    <w:rsid w:val="00353A21"/>
    <w:rsid w:val="003642DB"/>
    <w:rsid w:val="00364680"/>
    <w:rsid w:val="0038705E"/>
    <w:rsid w:val="00390BAC"/>
    <w:rsid w:val="00395725"/>
    <w:rsid w:val="003A00C6"/>
    <w:rsid w:val="003C32C9"/>
    <w:rsid w:val="003E5E68"/>
    <w:rsid w:val="00405725"/>
    <w:rsid w:val="004219C6"/>
    <w:rsid w:val="00427B02"/>
    <w:rsid w:val="00442037"/>
    <w:rsid w:val="00467899"/>
    <w:rsid w:val="004779FF"/>
    <w:rsid w:val="004B064B"/>
    <w:rsid w:val="004C2EB1"/>
    <w:rsid w:val="004D1545"/>
    <w:rsid w:val="004D476E"/>
    <w:rsid w:val="004D5512"/>
    <w:rsid w:val="004F00C6"/>
    <w:rsid w:val="00504DD2"/>
    <w:rsid w:val="00512640"/>
    <w:rsid w:val="00542D3C"/>
    <w:rsid w:val="005562C3"/>
    <w:rsid w:val="00577851"/>
    <w:rsid w:val="00577E64"/>
    <w:rsid w:val="00581CA4"/>
    <w:rsid w:val="0058742A"/>
    <w:rsid w:val="005F65D3"/>
    <w:rsid w:val="005F67BA"/>
    <w:rsid w:val="00603C16"/>
    <w:rsid w:val="00612015"/>
    <w:rsid w:val="0061570E"/>
    <w:rsid w:val="006242B1"/>
    <w:rsid w:val="0062440B"/>
    <w:rsid w:val="00636FA0"/>
    <w:rsid w:val="006410A8"/>
    <w:rsid w:val="00646FC6"/>
    <w:rsid w:val="00675A26"/>
    <w:rsid w:val="006805BE"/>
    <w:rsid w:val="00681106"/>
    <w:rsid w:val="006C0727"/>
    <w:rsid w:val="006D2399"/>
    <w:rsid w:val="006D4A25"/>
    <w:rsid w:val="006E145F"/>
    <w:rsid w:val="006E1886"/>
    <w:rsid w:val="006E5E9C"/>
    <w:rsid w:val="007111F2"/>
    <w:rsid w:val="007176EE"/>
    <w:rsid w:val="007364D7"/>
    <w:rsid w:val="007372A7"/>
    <w:rsid w:val="00770572"/>
    <w:rsid w:val="007B576B"/>
    <w:rsid w:val="007E26D8"/>
    <w:rsid w:val="007E4A85"/>
    <w:rsid w:val="008000C4"/>
    <w:rsid w:val="0080596F"/>
    <w:rsid w:val="00830D3D"/>
    <w:rsid w:val="00830DE8"/>
    <w:rsid w:val="00865B8D"/>
    <w:rsid w:val="008660A6"/>
    <w:rsid w:val="00876365"/>
    <w:rsid w:val="0088377C"/>
    <w:rsid w:val="00890EE0"/>
    <w:rsid w:val="008952BD"/>
    <w:rsid w:val="008A6E57"/>
    <w:rsid w:val="008C47D4"/>
    <w:rsid w:val="008D2D6D"/>
    <w:rsid w:val="008D390B"/>
    <w:rsid w:val="008F72A3"/>
    <w:rsid w:val="009101E5"/>
    <w:rsid w:val="009152BD"/>
    <w:rsid w:val="0091541D"/>
    <w:rsid w:val="0094093C"/>
    <w:rsid w:val="009508A4"/>
    <w:rsid w:val="00951A90"/>
    <w:rsid w:val="00961B29"/>
    <w:rsid w:val="00982206"/>
    <w:rsid w:val="0098365F"/>
    <w:rsid w:val="00985CA5"/>
    <w:rsid w:val="00997DCF"/>
    <w:rsid w:val="009A4CF9"/>
    <w:rsid w:val="009A7E36"/>
    <w:rsid w:val="009A7E89"/>
    <w:rsid w:val="009B2B40"/>
    <w:rsid w:val="009B6362"/>
    <w:rsid w:val="009E66AA"/>
    <w:rsid w:val="009F2FBC"/>
    <w:rsid w:val="00A11941"/>
    <w:rsid w:val="00A17656"/>
    <w:rsid w:val="00A23EA0"/>
    <w:rsid w:val="00A279B0"/>
    <w:rsid w:val="00A31C2E"/>
    <w:rsid w:val="00A409C1"/>
    <w:rsid w:val="00A40F63"/>
    <w:rsid w:val="00A568D1"/>
    <w:rsid w:val="00A66E62"/>
    <w:rsid w:val="00AA427C"/>
    <w:rsid w:val="00AB0E6C"/>
    <w:rsid w:val="00AB2536"/>
    <w:rsid w:val="00AB7CB7"/>
    <w:rsid w:val="00AC379C"/>
    <w:rsid w:val="00AD7BDB"/>
    <w:rsid w:val="00B13B9C"/>
    <w:rsid w:val="00B16107"/>
    <w:rsid w:val="00B366FC"/>
    <w:rsid w:val="00B65737"/>
    <w:rsid w:val="00B709E1"/>
    <w:rsid w:val="00B7763C"/>
    <w:rsid w:val="00B81D7B"/>
    <w:rsid w:val="00BB7085"/>
    <w:rsid w:val="00BC2DA3"/>
    <w:rsid w:val="00BC5427"/>
    <w:rsid w:val="00BD2CDC"/>
    <w:rsid w:val="00BE68C2"/>
    <w:rsid w:val="00BF2955"/>
    <w:rsid w:val="00C0088C"/>
    <w:rsid w:val="00C034B5"/>
    <w:rsid w:val="00C262A7"/>
    <w:rsid w:val="00C62B46"/>
    <w:rsid w:val="00C72788"/>
    <w:rsid w:val="00C95820"/>
    <w:rsid w:val="00C96072"/>
    <w:rsid w:val="00C97539"/>
    <w:rsid w:val="00CA09B2"/>
    <w:rsid w:val="00CA0F42"/>
    <w:rsid w:val="00CA205B"/>
    <w:rsid w:val="00CC3A95"/>
    <w:rsid w:val="00CD3B78"/>
    <w:rsid w:val="00CF64E4"/>
    <w:rsid w:val="00D0358D"/>
    <w:rsid w:val="00D03DA8"/>
    <w:rsid w:val="00D03EA2"/>
    <w:rsid w:val="00D254B1"/>
    <w:rsid w:val="00D65C3D"/>
    <w:rsid w:val="00D814D7"/>
    <w:rsid w:val="00D86D4F"/>
    <w:rsid w:val="00D93112"/>
    <w:rsid w:val="00DC29C5"/>
    <w:rsid w:val="00DC5A7B"/>
    <w:rsid w:val="00DD6E22"/>
    <w:rsid w:val="00DE145D"/>
    <w:rsid w:val="00DF25B9"/>
    <w:rsid w:val="00E25276"/>
    <w:rsid w:val="00E55D05"/>
    <w:rsid w:val="00E77E9D"/>
    <w:rsid w:val="00E94E71"/>
    <w:rsid w:val="00E94ED7"/>
    <w:rsid w:val="00EA50F5"/>
    <w:rsid w:val="00EC2551"/>
    <w:rsid w:val="00ED229F"/>
    <w:rsid w:val="00EF30B8"/>
    <w:rsid w:val="00EF6224"/>
    <w:rsid w:val="00F12355"/>
    <w:rsid w:val="00F15DEA"/>
    <w:rsid w:val="00F24605"/>
    <w:rsid w:val="00F54496"/>
    <w:rsid w:val="00FA2A14"/>
    <w:rsid w:val="00FA48BC"/>
    <w:rsid w:val="00FC5760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7E89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91541D"/>
    <w:rPr>
      <w:sz w:val="16"/>
      <w:szCs w:val="16"/>
    </w:rPr>
  </w:style>
  <w:style w:type="paragraph" w:styleId="a8">
    <w:name w:val="annotation text"/>
    <w:basedOn w:val="a"/>
    <w:link w:val="a9"/>
    <w:rsid w:val="0091541D"/>
    <w:rPr>
      <w:sz w:val="20"/>
    </w:rPr>
  </w:style>
  <w:style w:type="character" w:customStyle="1" w:styleId="a9">
    <w:name w:val="批注文字 字符"/>
    <w:link w:val="a8"/>
    <w:rsid w:val="0091541D"/>
    <w:rPr>
      <w:lang w:val="en-GB"/>
    </w:rPr>
  </w:style>
  <w:style w:type="paragraph" w:styleId="aa">
    <w:name w:val="annotation subject"/>
    <w:basedOn w:val="a8"/>
    <w:next w:val="a8"/>
    <w:link w:val="ab"/>
    <w:rsid w:val="0091541D"/>
    <w:rPr>
      <w:b/>
      <w:bCs/>
    </w:rPr>
  </w:style>
  <w:style w:type="character" w:customStyle="1" w:styleId="ab">
    <w:name w:val="批注主题 字符"/>
    <w:link w:val="aa"/>
    <w:rsid w:val="0091541D"/>
    <w:rPr>
      <w:b/>
      <w:bCs/>
      <w:lang w:val="en-GB"/>
    </w:rPr>
  </w:style>
  <w:style w:type="paragraph" w:styleId="ac">
    <w:name w:val="Balloon Text"/>
    <w:basedOn w:val="a"/>
    <w:link w:val="ad"/>
    <w:rsid w:val="00013BF4"/>
    <w:rPr>
      <w:sz w:val="18"/>
      <w:szCs w:val="18"/>
    </w:rPr>
  </w:style>
  <w:style w:type="character" w:customStyle="1" w:styleId="ad">
    <w:name w:val="批注框文本 字符"/>
    <w:link w:val="ac"/>
    <w:rsid w:val="00013BF4"/>
    <w:rPr>
      <w:sz w:val="18"/>
      <w:szCs w:val="18"/>
      <w:lang w:val="en-GB"/>
    </w:rPr>
  </w:style>
  <w:style w:type="character" w:customStyle="1" w:styleId="30">
    <w:name w:val="标题 3 字符"/>
    <w:link w:val="3"/>
    <w:rsid w:val="008C47D4"/>
    <w:rPr>
      <w:rFonts w:ascii="Arial" w:hAnsi="Arial"/>
      <w:b/>
      <w:sz w:val="24"/>
      <w:lang w:val="en-GB" w:eastAsia="en-US"/>
    </w:rPr>
  </w:style>
  <w:style w:type="table" w:styleId="ae">
    <w:name w:val="Table Grid"/>
    <w:basedOn w:val="a1"/>
    <w:rsid w:val="00624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845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周培(Zhou Pei)</cp:lastModifiedBy>
  <cp:revision>107</cp:revision>
  <cp:lastPrinted>1900-01-01T08:00:00Z</cp:lastPrinted>
  <dcterms:created xsi:type="dcterms:W3CDTF">2022-01-13T19:51:00Z</dcterms:created>
  <dcterms:modified xsi:type="dcterms:W3CDTF">2022-01-24T06:29:00Z</dcterms:modified>
</cp:coreProperties>
</file>