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52D20A3A"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376563">
              <w:rPr>
                <w:b w:val="0"/>
                <w:sz w:val="20"/>
              </w:rPr>
              <w:t>11</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150C67C9"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150C67C9"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1B7DCB">
              <w:rPr>
                <w:rFonts w:ascii="Arial" w:hAnsi="Arial" w:cs="Arial"/>
                <w:bCs/>
                <w:color w:val="000000"/>
                <w:sz w:val="20"/>
                <w:highlight w:val="lightGray"/>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5F6E4711" w14:textId="6E6ECFAB" w:rsidR="006720FE" w:rsidRPr="00AC6501" w:rsidRDefault="006720FE" w:rsidP="005E39E4">
            <w:pPr>
              <w:rPr>
                <w:rFonts w:ascii="Arial" w:hAnsi="Arial" w:cs="Arial"/>
                <w:sz w:val="20"/>
              </w:rPr>
            </w:pPr>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 xml:space="preserve">The Format and BW is an ordered list, meaning </w:t>
            </w:r>
            <w:r>
              <w:rPr>
                <w:rFonts w:ascii="Arial" w:hAnsi="Arial" w:cs="Arial"/>
                <w:sz w:val="20"/>
              </w:rPr>
              <w:lastRenderedPageBreak/>
              <w:t>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lastRenderedPageBreak/>
              <w:t xml:space="preserve">Insert text in the element description </w:t>
            </w:r>
            <w:r>
              <w:rPr>
                <w:rFonts w:ascii="Arial" w:hAnsi="Arial" w:cs="Arial"/>
                <w:sz w:val="20"/>
              </w:rPr>
              <w:lastRenderedPageBreak/>
              <w:t>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lastRenderedPageBreak/>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lastRenderedPageBreak/>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B91CDB">
              <w:rPr>
                <w:rFonts w:ascii="Arial" w:hAnsi="Arial" w:cs="Arial"/>
                <w:bCs/>
                <w:color w:val="000000"/>
                <w:sz w:val="20"/>
                <w:highlight w:val="cyan"/>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126CC94F"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8" w:history="1">
              <w:r w:rsidR="006F2D57">
                <w:rPr>
                  <w:rStyle w:val="Hyperlink"/>
                  <w:rFonts w:ascii="Arial" w:hAnsi="Arial" w:cs="Arial"/>
                  <w:sz w:val="20"/>
                </w:rPr>
                <w:t>https://mentor.ieee.org/802.11/dcn/22/11-22-0007-01-00bd-lb259-comment-resolution.docx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B91CDB">
              <w:rPr>
                <w:rFonts w:ascii="Arial" w:hAnsi="Arial" w:cs="Arial"/>
                <w:bCs/>
                <w:color w:val="000000"/>
                <w:sz w:val="20"/>
                <w:highlight w:val="cyan"/>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2D526B66"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9" w:history="1">
              <w:r w:rsidR="006F2D57">
                <w:rPr>
                  <w:rStyle w:val="Hyperlink"/>
                  <w:rFonts w:ascii="Arial" w:hAnsi="Arial" w:cs="Arial"/>
                  <w:sz w:val="20"/>
                </w:rPr>
                <w:t>https://mentor.ieee.org/802.11/dcn/22/11-22-0007-01-00bd-lb259-comment-resolution.docx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NGV-SIG when transmitting ranging NDP or make NGV-MCS field 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77777777" w:rsidR="00B91CDB" w:rsidRDefault="00B91CDB" w:rsidP="003D1202">
            <w:pPr>
              <w:rPr>
                <w:rStyle w:val="Hyperlink"/>
                <w:rFonts w:ascii="Arial" w:hAnsi="Arial" w:cs="Arial"/>
                <w:sz w:val="20"/>
              </w:rPr>
            </w:pPr>
            <w:r>
              <w:rPr>
                <w:rFonts w:ascii="Arial" w:hAnsi="Arial" w:cs="Arial"/>
                <w:sz w:val="20"/>
              </w:rPr>
              <w:t xml:space="preserve">Please incorporate the changes in </w:t>
            </w:r>
            <w:hyperlink r:id="rId10" w:history="1">
              <w:r>
                <w:rPr>
                  <w:rStyle w:val="Hyperlink"/>
                  <w:rFonts w:ascii="Arial" w:hAnsi="Arial" w:cs="Arial"/>
                  <w:sz w:val="20"/>
                </w:rPr>
                <w:t>https://mentor.ieee.org/802.11/dcn/22/11-22-0007-01-00bd-lb259-comment-resolution.docx</w:t>
              </w:r>
            </w:hyperlink>
          </w:p>
          <w:p w14:paraId="138F8106" w14:textId="1F181461" w:rsidR="003D1202" w:rsidRPr="00AC6501" w:rsidRDefault="003D1202" w:rsidP="003D1202">
            <w:pPr>
              <w:rPr>
                <w:rFonts w:ascii="Arial" w:hAnsi="Arial" w:cs="Arial"/>
                <w:sz w:val="20"/>
              </w:rPr>
            </w:pPr>
            <w:bookmarkStart w:id="2" w:name="_GoBack"/>
            <w:bookmarkEnd w:id="2"/>
            <w:r>
              <w:rPr>
                <w:rFonts w:ascii="Arial" w:hAnsi="Arial" w:cs="Arial"/>
                <w:sz w:val="20"/>
              </w:rPr>
              <w:lastRenderedPageBreak/>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lastRenderedPageBreak/>
        <w:br w:type="page"/>
      </w:r>
    </w:p>
    <w:p w14:paraId="4B91984F" w14:textId="77777777" w:rsidR="004555E0" w:rsidRPr="005E3D3B" w:rsidRDefault="004555E0" w:rsidP="004555E0">
      <w:pPr>
        <w:rPr>
          <w:color w:val="4472C4" w:themeColor="accent1"/>
          <w:u w:val="single"/>
        </w:rPr>
      </w:pPr>
      <w:bookmarkStart w:id="3"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bookmarkEnd w:id="3"/>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717376B2" w14:textId="40C24851" w:rsidR="00500525" w:rsidRDefault="00500525" w:rsidP="00500525">
      <w:pPr>
        <w:pStyle w:val="ListParagraph"/>
        <w:numPr>
          <w:ilvl w:val="0"/>
          <w:numId w:val="2"/>
        </w:numPr>
        <w:rPr>
          <w:rStyle w:val="fontstyle01"/>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Pr>
          <w:rStyle w:val="fontstyle01"/>
        </w:rPr>
        <w:t>• An NGV Ranging NDP Announcement frame is transmitted instead of a VHT/HE/Ranging NDP</w:t>
      </w:r>
      <w:r w:rsidR="001B7DCB">
        <w:rPr>
          <w:rStyle w:val="fontstyle01"/>
        </w:rPr>
        <w:br/>
        <w:t xml:space="preserve">  </w:t>
      </w:r>
      <w:r>
        <w:rPr>
          <w:rStyle w:val="fontstyle01"/>
        </w:rPr>
        <w:t>Announcement frame.</w:t>
      </w:r>
    </w:p>
    <w:p w14:paraId="785D3034" w14:textId="77777777" w:rsidR="001B7DCB" w:rsidRPr="00500525" w:rsidRDefault="001B7DCB" w:rsidP="001B7DCB">
      <w:pPr>
        <w:pStyle w:val="ListParagraph"/>
        <w:rPr>
          <w:rFonts w:ascii="TimesNewRoman" w:hAnsi="TimesNewRoman"/>
          <w:color w:val="000000"/>
          <w:sz w:val="20"/>
        </w:rPr>
      </w:pPr>
    </w:p>
    <w:p w14:paraId="759D82C5" w14:textId="77777777" w:rsidR="00500525" w:rsidRDefault="00500525" w:rsidP="001B7DCB">
      <w:r>
        <w:rPr>
          <w:rStyle w:val="fontstyle01"/>
        </w:rPr>
        <w:t>For ranging on IEEE Std 802.11 bands outside the 5.9 GHz band, whether PASN is required is indicated by the higher layers. Two STAs co-located with NGV STAs may establish PASN authentication if so indicated by the 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lastRenderedPageBreak/>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1in" o:ole="">
            <v:imagedata r:id="rId11" o:title=""/>
          </v:shape>
          <o:OLEObject Type="Embed" ProgID="Visio.Drawing.15" ShapeID="_x0000_i1025" DrawAspect="Content" ObjectID="_1703440757" r:id="rId12"/>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6pt;height:1in" o:ole="">
            <v:imagedata r:id="rId13" o:title=""/>
          </v:shape>
          <o:OLEObject Type="Embed" ProgID="Visio.Drawing.15" ShapeID="_x0000_i1026" DrawAspect="Content" ObjectID="_1703440758" r:id="rId14"/>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35pt;height:131.9pt" o:ole="">
            <v:imagedata r:id="rId15" o:title=""/>
          </v:shape>
          <o:OLEObject Type="Embed" ProgID="Visio.Drawing.15" ShapeID="_x0000_i1027" DrawAspect="Content" ObjectID="_1703440759" r:id="rId16"/>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3.2pt;height:131.9pt" o:ole="">
            <v:imagedata r:id="rId17" o:title=""/>
          </v:shape>
          <o:OLEObject Type="Embed" ProgID="Visio.Drawing.15" ShapeID="_x0000_i1028" DrawAspect="Content" ObjectID="_1703440760" r:id="rId18"/>
        </w:object>
      </w:r>
    </w:p>
    <w:p w14:paraId="7A7FA0EB" w14:textId="77777777" w:rsidR="005C32B1" w:rsidRDefault="005C32B1" w:rsidP="00916A53"/>
    <w:p w14:paraId="0D4D425F" w14:textId="77777777" w:rsidR="005C32B1" w:rsidRDefault="005C32B1" w:rsidP="00916A53"/>
    <w:sectPr w:rsidR="005C32B1">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66A5" w14:textId="77777777" w:rsidR="00C9664B" w:rsidRDefault="00C9664B">
      <w:r>
        <w:separator/>
      </w:r>
    </w:p>
  </w:endnote>
  <w:endnote w:type="continuationSeparator" w:id="0">
    <w:p w14:paraId="06230D48" w14:textId="77777777" w:rsidR="00C9664B" w:rsidRDefault="00C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F3129A">
    <w:pPr>
      <w:pStyle w:val="Footer"/>
      <w:tabs>
        <w:tab w:val="clear" w:pos="6480"/>
        <w:tab w:val="center" w:pos="4680"/>
        <w:tab w:val="right" w:pos="9360"/>
      </w:tabs>
      <w:rPr>
        <w:sz w:val="32"/>
      </w:rPr>
    </w:pPr>
    <w:fldSimple w:instr=" SUBJECT  \* MERGEFORMAT ">
      <w:r w:rsidR="009F5A06">
        <w:t>Submission</w:t>
      </w:r>
    </w:fldSimple>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fldSimple w:instr=" COMMENTS  \* MERGEFORMAT ">
      <w:r w:rsidR="009F5A06" w:rsidRPr="009B1BA9">
        <w:t>Stephan Sand (DLR)</w:t>
      </w:r>
    </w:fldSimple>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8DDD" w14:textId="77777777" w:rsidR="00C9664B" w:rsidRDefault="00C9664B">
      <w:r>
        <w:separator/>
      </w:r>
    </w:p>
  </w:footnote>
  <w:footnote w:type="continuationSeparator" w:id="0">
    <w:p w14:paraId="5D66C574" w14:textId="77777777" w:rsidR="00C9664B" w:rsidRDefault="00C9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093FC907" w:rsidR="009F5A06" w:rsidRDefault="00F3129A">
    <w:pPr>
      <w:pStyle w:val="Header"/>
      <w:tabs>
        <w:tab w:val="clear" w:pos="6480"/>
        <w:tab w:val="center" w:pos="4680"/>
        <w:tab w:val="right" w:pos="9360"/>
      </w:tabs>
    </w:pPr>
    <w:fldSimple w:instr=" KEYWORDS  \* MERGEFORMAT ">
      <w:r w:rsidR="009F5A06">
        <w:t>January 2022</w:t>
      </w:r>
    </w:fldSimple>
    <w:r w:rsidR="009F5A06">
      <w:tab/>
    </w:r>
    <w:r w:rsidR="009F5A06">
      <w:tab/>
    </w:r>
    <w:fldSimple w:instr=" TITLE  \* MERGEFORMAT ">
      <w:r w:rsidR="00376563">
        <w:t>doc.: IEEE 802.11-22/0007r1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840B4"/>
    <w:rsid w:val="000952D3"/>
    <w:rsid w:val="00097AA1"/>
    <w:rsid w:val="000A7AC7"/>
    <w:rsid w:val="000B1814"/>
    <w:rsid w:val="000C1092"/>
    <w:rsid w:val="00106357"/>
    <w:rsid w:val="00137C49"/>
    <w:rsid w:val="00145251"/>
    <w:rsid w:val="0017426B"/>
    <w:rsid w:val="001B7DCB"/>
    <w:rsid w:val="001C243F"/>
    <w:rsid w:val="001D723B"/>
    <w:rsid w:val="001E7C97"/>
    <w:rsid w:val="00226983"/>
    <w:rsid w:val="00261C00"/>
    <w:rsid w:val="00267C6A"/>
    <w:rsid w:val="002853FC"/>
    <w:rsid w:val="0029020B"/>
    <w:rsid w:val="002C0286"/>
    <w:rsid w:val="002C69B5"/>
    <w:rsid w:val="002D44BE"/>
    <w:rsid w:val="00325B64"/>
    <w:rsid w:val="00346F74"/>
    <w:rsid w:val="00352FF3"/>
    <w:rsid w:val="00364D10"/>
    <w:rsid w:val="00376563"/>
    <w:rsid w:val="003A1AA3"/>
    <w:rsid w:val="003D1202"/>
    <w:rsid w:val="003E3C8A"/>
    <w:rsid w:val="00404915"/>
    <w:rsid w:val="004128F2"/>
    <w:rsid w:val="00442037"/>
    <w:rsid w:val="004555E0"/>
    <w:rsid w:val="00464F37"/>
    <w:rsid w:val="004B064B"/>
    <w:rsid w:val="00500525"/>
    <w:rsid w:val="0051622C"/>
    <w:rsid w:val="0053663B"/>
    <w:rsid w:val="00570EFC"/>
    <w:rsid w:val="0057584E"/>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F2D57"/>
    <w:rsid w:val="006F54AA"/>
    <w:rsid w:val="00770572"/>
    <w:rsid w:val="00795417"/>
    <w:rsid w:val="007B5DF7"/>
    <w:rsid w:val="007B7758"/>
    <w:rsid w:val="007C0FE5"/>
    <w:rsid w:val="007D146B"/>
    <w:rsid w:val="007E489D"/>
    <w:rsid w:val="00832AB4"/>
    <w:rsid w:val="00862FD6"/>
    <w:rsid w:val="0087781F"/>
    <w:rsid w:val="0089472F"/>
    <w:rsid w:val="008F0841"/>
    <w:rsid w:val="008F786B"/>
    <w:rsid w:val="00900EB6"/>
    <w:rsid w:val="00916A53"/>
    <w:rsid w:val="0098622C"/>
    <w:rsid w:val="009B0DDD"/>
    <w:rsid w:val="009B1BA9"/>
    <w:rsid w:val="009F2FBC"/>
    <w:rsid w:val="009F5A06"/>
    <w:rsid w:val="00A1760A"/>
    <w:rsid w:val="00A94828"/>
    <w:rsid w:val="00AA427C"/>
    <w:rsid w:val="00AC6501"/>
    <w:rsid w:val="00B156CE"/>
    <w:rsid w:val="00B91CDB"/>
    <w:rsid w:val="00B92E75"/>
    <w:rsid w:val="00BA24E4"/>
    <w:rsid w:val="00BE68C2"/>
    <w:rsid w:val="00C53FE4"/>
    <w:rsid w:val="00C94B79"/>
    <w:rsid w:val="00C9664B"/>
    <w:rsid w:val="00CA09B2"/>
    <w:rsid w:val="00CC2091"/>
    <w:rsid w:val="00CD3B23"/>
    <w:rsid w:val="00CF413F"/>
    <w:rsid w:val="00D56D5A"/>
    <w:rsid w:val="00D803F5"/>
    <w:rsid w:val="00D81499"/>
    <w:rsid w:val="00D966A1"/>
    <w:rsid w:val="00DB082C"/>
    <w:rsid w:val="00DC5A7B"/>
    <w:rsid w:val="00DD5EAA"/>
    <w:rsid w:val="00E24CEF"/>
    <w:rsid w:val="00E414F5"/>
    <w:rsid w:val="00E45BFF"/>
    <w:rsid w:val="00E62162"/>
    <w:rsid w:val="00E81B62"/>
    <w:rsid w:val="00EA3C7D"/>
    <w:rsid w:val="00EB7037"/>
    <w:rsid w:val="00ED2BE6"/>
    <w:rsid w:val="00EE339E"/>
    <w:rsid w:val="00F3129A"/>
    <w:rsid w:val="00F35C69"/>
    <w:rsid w:val="00F672F0"/>
    <w:rsid w:val="00FB5022"/>
    <w:rsid w:val="00FD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1-00bd-lb259-comment-resolution.docx"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mentor.ieee.org/802.11/dcn/22/11-22-0007-01-00bd-lb259-comment-resolution.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007-01-00bd-lb259-comment-resolution.docx"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13E7C18-8A75-4C0A-B4B6-C5E2EAA5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802.11-22/0007r0</vt:lpstr>
    </vt:vector>
  </TitlesOfParts>
  <Company>Some Company</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802.11-22/0007r1</dc:title>
  <dc:subject>Submission</dc:subject>
  <dc:creator>Sand, Stephan</dc:creator>
  <cp:keywords>January 2022</cp:keywords>
  <dc:description>Stephan Sand (German Aerospace Center (DLR))</dc:description>
  <cp:lastModifiedBy>Sand, Stephan</cp:lastModifiedBy>
  <cp:revision>6</cp:revision>
  <cp:lastPrinted>1899-12-31T23:00:00Z</cp:lastPrinted>
  <dcterms:created xsi:type="dcterms:W3CDTF">2022-01-11T15:21:00Z</dcterms:created>
  <dcterms:modified xsi:type="dcterms:W3CDTF">2022-01-11T20:13:00Z</dcterms:modified>
</cp:coreProperties>
</file>