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F3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9B8B03" w14:textId="77777777">
        <w:trPr>
          <w:trHeight w:val="485"/>
          <w:jc w:val="center"/>
        </w:trPr>
        <w:tc>
          <w:tcPr>
            <w:tcW w:w="9576" w:type="dxa"/>
            <w:gridSpan w:val="5"/>
            <w:vAlign w:val="center"/>
          </w:tcPr>
          <w:p w14:paraId="5123D47C" w14:textId="77777777" w:rsidR="00CA09B2" w:rsidRDefault="00F11C50">
            <w:pPr>
              <w:pStyle w:val="T2"/>
            </w:pPr>
            <w:r>
              <w:t>P802.11bb Coexistence Assessment Document (CAD)</w:t>
            </w:r>
          </w:p>
        </w:tc>
      </w:tr>
      <w:tr w:rsidR="00CA09B2" w14:paraId="04A188E7" w14:textId="77777777">
        <w:trPr>
          <w:trHeight w:val="359"/>
          <w:jc w:val="center"/>
        </w:trPr>
        <w:tc>
          <w:tcPr>
            <w:tcW w:w="9576" w:type="dxa"/>
            <w:gridSpan w:val="5"/>
            <w:vAlign w:val="center"/>
          </w:tcPr>
          <w:p w14:paraId="7830D67E" w14:textId="561B8B69" w:rsidR="00CA09B2" w:rsidRDefault="00CA09B2" w:rsidP="00F11C50">
            <w:pPr>
              <w:pStyle w:val="T2"/>
              <w:ind w:left="0"/>
              <w:rPr>
                <w:sz w:val="20"/>
              </w:rPr>
            </w:pPr>
            <w:r>
              <w:rPr>
                <w:sz w:val="20"/>
              </w:rPr>
              <w:t>Date:</w:t>
            </w:r>
            <w:r>
              <w:rPr>
                <w:b w:val="0"/>
                <w:sz w:val="20"/>
              </w:rPr>
              <w:t xml:space="preserve">  </w:t>
            </w:r>
            <w:r w:rsidR="008C62D7">
              <w:rPr>
                <w:b w:val="0"/>
                <w:sz w:val="20"/>
              </w:rPr>
              <w:t>202</w:t>
            </w:r>
            <w:r w:rsidR="008C62D7">
              <w:rPr>
                <w:b w:val="0"/>
                <w:sz w:val="20"/>
              </w:rPr>
              <w:t>2</w:t>
            </w:r>
            <w:r w:rsidR="00F11C50">
              <w:rPr>
                <w:b w:val="0"/>
                <w:sz w:val="20"/>
              </w:rPr>
              <w:t>-</w:t>
            </w:r>
            <w:r w:rsidR="008C62D7">
              <w:rPr>
                <w:b w:val="0"/>
                <w:sz w:val="20"/>
              </w:rPr>
              <w:t>03</w:t>
            </w:r>
            <w:r w:rsidR="00F11C50">
              <w:rPr>
                <w:b w:val="0"/>
                <w:sz w:val="20"/>
              </w:rPr>
              <w:t>-</w:t>
            </w:r>
            <w:r w:rsidR="008C62D7">
              <w:rPr>
                <w:b w:val="0"/>
                <w:sz w:val="20"/>
              </w:rPr>
              <w:t>09</w:t>
            </w:r>
          </w:p>
        </w:tc>
      </w:tr>
      <w:tr w:rsidR="00CA09B2" w14:paraId="5CA833B5" w14:textId="77777777">
        <w:trPr>
          <w:cantSplit/>
          <w:jc w:val="center"/>
        </w:trPr>
        <w:tc>
          <w:tcPr>
            <w:tcW w:w="9576" w:type="dxa"/>
            <w:gridSpan w:val="5"/>
            <w:vAlign w:val="center"/>
          </w:tcPr>
          <w:p w14:paraId="440DB366" w14:textId="77777777" w:rsidR="00CA09B2" w:rsidRDefault="00CA09B2">
            <w:pPr>
              <w:pStyle w:val="T2"/>
              <w:spacing w:after="0"/>
              <w:ind w:left="0" w:right="0"/>
              <w:jc w:val="left"/>
              <w:rPr>
                <w:sz w:val="20"/>
              </w:rPr>
            </w:pPr>
            <w:r>
              <w:rPr>
                <w:sz w:val="20"/>
              </w:rPr>
              <w:t>Author(s):</w:t>
            </w:r>
          </w:p>
        </w:tc>
      </w:tr>
      <w:tr w:rsidR="00CA09B2" w14:paraId="15E643A9" w14:textId="77777777">
        <w:trPr>
          <w:jc w:val="center"/>
        </w:trPr>
        <w:tc>
          <w:tcPr>
            <w:tcW w:w="1336" w:type="dxa"/>
            <w:vAlign w:val="center"/>
          </w:tcPr>
          <w:p w14:paraId="3BD496EC" w14:textId="77777777" w:rsidR="00CA09B2" w:rsidRDefault="00CA09B2">
            <w:pPr>
              <w:pStyle w:val="T2"/>
              <w:spacing w:after="0"/>
              <w:ind w:left="0" w:right="0"/>
              <w:jc w:val="left"/>
              <w:rPr>
                <w:sz w:val="20"/>
              </w:rPr>
            </w:pPr>
            <w:r>
              <w:rPr>
                <w:sz w:val="20"/>
              </w:rPr>
              <w:t>Name</w:t>
            </w:r>
          </w:p>
        </w:tc>
        <w:tc>
          <w:tcPr>
            <w:tcW w:w="2064" w:type="dxa"/>
            <w:vAlign w:val="center"/>
          </w:tcPr>
          <w:p w14:paraId="65AEB259" w14:textId="77777777" w:rsidR="00CA09B2" w:rsidRDefault="0062440B">
            <w:pPr>
              <w:pStyle w:val="T2"/>
              <w:spacing w:after="0"/>
              <w:ind w:left="0" w:right="0"/>
              <w:jc w:val="left"/>
              <w:rPr>
                <w:sz w:val="20"/>
              </w:rPr>
            </w:pPr>
            <w:r>
              <w:rPr>
                <w:sz w:val="20"/>
              </w:rPr>
              <w:t>Affiliation</w:t>
            </w:r>
          </w:p>
        </w:tc>
        <w:tc>
          <w:tcPr>
            <w:tcW w:w="2814" w:type="dxa"/>
            <w:vAlign w:val="center"/>
          </w:tcPr>
          <w:p w14:paraId="79FCFFA2" w14:textId="77777777" w:rsidR="00CA09B2" w:rsidRDefault="00CA09B2">
            <w:pPr>
              <w:pStyle w:val="T2"/>
              <w:spacing w:after="0"/>
              <w:ind w:left="0" w:right="0"/>
              <w:jc w:val="left"/>
              <w:rPr>
                <w:sz w:val="20"/>
              </w:rPr>
            </w:pPr>
            <w:r>
              <w:rPr>
                <w:sz w:val="20"/>
              </w:rPr>
              <w:t>Address</w:t>
            </w:r>
          </w:p>
        </w:tc>
        <w:tc>
          <w:tcPr>
            <w:tcW w:w="1715" w:type="dxa"/>
            <w:vAlign w:val="center"/>
          </w:tcPr>
          <w:p w14:paraId="79E7DAFD" w14:textId="77777777" w:rsidR="00CA09B2" w:rsidRDefault="00CA09B2">
            <w:pPr>
              <w:pStyle w:val="T2"/>
              <w:spacing w:after="0"/>
              <w:ind w:left="0" w:right="0"/>
              <w:jc w:val="left"/>
              <w:rPr>
                <w:sz w:val="20"/>
              </w:rPr>
            </w:pPr>
            <w:r>
              <w:rPr>
                <w:sz w:val="20"/>
              </w:rPr>
              <w:t>Phone</w:t>
            </w:r>
          </w:p>
        </w:tc>
        <w:tc>
          <w:tcPr>
            <w:tcW w:w="1647" w:type="dxa"/>
            <w:vAlign w:val="center"/>
          </w:tcPr>
          <w:p w14:paraId="4EC926E7" w14:textId="77777777" w:rsidR="00CA09B2" w:rsidRDefault="00CA09B2">
            <w:pPr>
              <w:pStyle w:val="T2"/>
              <w:spacing w:after="0"/>
              <w:ind w:left="0" w:right="0"/>
              <w:jc w:val="left"/>
              <w:rPr>
                <w:sz w:val="20"/>
              </w:rPr>
            </w:pPr>
            <w:r>
              <w:rPr>
                <w:sz w:val="20"/>
              </w:rPr>
              <w:t>email</w:t>
            </w:r>
          </w:p>
        </w:tc>
      </w:tr>
      <w:tr w:rsidR="00CA09B2" w14:paraId="72A3DA8C" w14:textId="77777777">
        <w:trPr>
          <w:jc w:val="center"/>
        </w:trPr>
        <w:tc>
          <w:tcPr>
            <w:tcW w:w="1336" w:type="dxa"/>
            <w:vAlign w:val="center"/>
          </w:tcPr>
          <w:p w14:paraId="3DBE78C5" w14:textId="77777777" w:rsidR="00CA09B2" w:rsidRDefault="00F11C50">
            <w:pPr>
              <w:pStyle w:val="T2"/>
              <w:spacing w:after="0"/>
              <w:ind w:left="0" w:right="0"/>
              <w:rPr>
                <w:b w:val="0"/>
                <w:sz w:val="20"/>
              </w:rPr>
            </w:pPr>
            <w:proofErr w:type="spellStart"/>
            <w:r>
              <w:rPr>
                <w:b w:val="0"/>
                <w:sz w:val="20"/>
              </w:rPr>
              <w:t>Tuncer</w:t>
            </w:r>
            <w:proofErr w:type="spellEnd"/>
            <w:r>
              <w:rPr>
                <w:b w:val="0"/>
                <w:sz w:val="20"/>
              </w:rPr>
              <w:t xml:space="preserve"> </w:t>
            </w:r>
            <w:proofErr w:type="spellStart"/>
            <w:r>
              <w:rPr>
                <w:b w:val="0"/>
                <w:sz w:val="20"/>
              </w:rPr>
              <w:t>Baykas</w:t>
            </w:r>
            <w:proofErr w:type="spellEnd"/>
          </w:p>
        </w:tc>
        <w:tc>
          <w:tcPr>
            <w:tcW w:w="2064" w:type="dxa"/>
            <w:vAlign w:val="center"/>
          </w:tcPr>
          <w:p w14:paraId="64B962B6" w14:textId="77777777" w:rsidR="00965FD6" w:rsidRDefault="00965FD6">
            <w:pPr>
              <w:pStyle w:val="T2"/>
              <w:spacing w:after="0"/>
              <w:ind w:left="0" w:right="0"/>
              <w:rPr>
                <w:b w:val="0"/>
                <w:sz w:val="20"/>
              </w:rPr>
            </w:pPr>
            <w:r>
              <w:rPr>
                <w:b w:val="0"/>
                <w:sz w:val="20"/>
              </w:rPr>
              <w:t>Kadir Has University</w:t>
            </w:r>
          </w:p>
        </w:tc>
        <w:tc>
          <w:tcPr>
            <w:tcW w:w="2814" w:type="dxa"/>
            <w:vAlign w:val="center"/>
          </w:tcPr>
          <w:p w14:paraId="370CC1C0" w14:textId="77777777" w:rsidR="00CA09B2" w:rsidRDefault="00F11C50">
            <w:pPr>
              <w:pStyle w:val="T2"/>
              <w:spacing w:after="0"/>
              <w:ind w:left="0" w:right="0"/>
              <w:rPr>
                <w:b w:val="0"/>
                <w:sz w:val="20"/>
              </w:rPr>
            </w:pPr>
            <w:r>
              <w:rPr>
                <w:b w:val="0"/>
                <w:sz w:val="20"/>
              </w:rPr>
              <w:t>Istanbul, Turkey</w:t>
            </w:r>
          </w:p>
        </w:tc>
        <w:tc>
          <w:tcPr>
            <w:tcW w:w="1715" w:type="dxa"/>
            <w:vAlign w:val="center"/>
          </w:tcPr>
          <w:p w14:paraId="7F71B039" w14:textId="77777777" w:rsidR="00CA09B2" w:rsidRDefault="00CA09B2">
            <w:pPr>
              <w:pStyle w:val="T2"/>
              <w:spacing w:after="0"/>
              <w:ind w:left="0" w:right="0"/>
              <w:rPr>
                <w:b w:val="0"/>
                <w:sz w:val="20"/>
              </w:rPr>
            </w:pPr>
          </w:p>
        </w:tc>
        <w:tc>
          <w:tcPr>
            <w:tcW w:w="1647" w:type="dxa"/>
            <w:vAlign w:val="center"/>
          </w:tcPr>
          <w:p w14:paraId="478273DE" w14:textId="77777777" w:rsidR="00CA09B2" w:rsidRDefault="001742F1">
            <w:pPr>
              <w:pStyle w:val="T2"/>
              <w:spacing w:after="0"/>
              <w:ind w:left="0" w:right="0"/>
              <w:rPr>
                <w:b w:val="0"/>
                <w:sz w:val="16"/>
              </w:rPr>
            </w:pPr>
            <w:hyperlink r:id="rId7" w:history="1">
              <w:r w:rsidR="00F11C50" w:rsidRPr="00972C30">
                <w:rPr>
                  <w:rStyle w:val="Kpr"/>
                  <w:b w:val="0"/>
                  <w:sz w:val="16"/>
                </w:rPr>
                <w:t>tbaykas@ieee.org</w:t>
              </w:r>
            </w:hyperlink>
            <w:r w:rsidR="00F11C50">
              <w:rPr>
                <w:b w:val="0"/>
                <w:sz w:val="16"/>
              </w:rPr>
              <w:t xml:space="preserve"> </w:t>
            </w:r>
          </w:p>
        </w:tc>
      </w:tr>
      <w:tr w:rsidR="00CA09B2" w14:paraId="2C656AE7" w14:textId="77777777">
        <w:trPr>
          <w:jc w:val="center"/>
        </w:trPr>
        <w:tc>
          <w:tcPr>
            <w:tcW w:w="1336" w:type="dxa"/>
            <w:vAlign w:val="center"/>
          </w:tcPr>
          <w:p w14:paraId="130410F7" w14:textId="77777777" w:rsidR="00CA09B2" w:rsidRDefault="00F11C50">
            <w:pPr>
              <w:pStyle w:val="T2"/>
              <w:spacing w:after="0"/>
              <w:ind w:left="0" w:right="0"/>
              <w:rPr>
                <w:b w:val="0"/>
                <w:sz w:val="20"/>
              </w:rPr>
            </w:pPr>
            <w:r>
              <w:rPr>
                <w:b w:val="0"/>
                <w:sz w:val="20"/>
              </w:rPr>
              <w:t xml:space="preserve">Volker </w:t>
            </w:r>
            <w:proofErr w:type="spellStart"/>
            <w:r>
              <w:rPr>
                <w:b w:val="0"/>
                <w:sz w:val="20"/>
              </w:rPr>
              <w:t>Jungnickel</w:t>
            </w:r>
            <w:proofErr w:type="spellEnd"/>
          </w:p>
        </w:tc>
        <w:tc>
          <w:tcPr>
            <w:tcW w:w="2064" w:type="dxa"/>
            <w:vAlign w:val="center"/>
          </w:tcPr>
          <w:p w14:paraId="1E0BA0FC" w14:textId="77777777" w:rsidR="00CA09B2" w:rsidRDefault="00F11C50">
            <w:pPr>
              <w:pStyle w:val="T2"/>
              <w:spacing w:after="0"/>
              <w:ind w:left="0" w:right="0"/>
              <w:rPr>
                <w:b w:val="0"/>
                <w:sz w:val="20"/>
              </w:rPr>
            </w:pPr>
            <w:r>
              <w:rPr>
                <w:b w:val="0"/>
                <w:sz w:val="20"/>
              </w:rPr>
              <w:t>Fraunhofer HHI</w:t>
            </w:r>
          </w:p>
        </w:tc>
        <w:tc>
          <w:tcPr>
            <w:tcW w:w="2814" w:type="dxa"/>
            <w:vAlign w:val="center"/>
          </w:tcPr>
          <w:p w14:paraId="3F2BA170" w14:textId="77777777" w:rsidR="00CA09B2" w:rsidRDefault="00F11C50">
            <w:pPr>
              <w:pStyle w:val="T2"/>
              <w:spacing w:after="0"/>
              <w:ind w:left="0" w:right="0"/>
              <w:rPr>
                <w:b w:val="0"/>
                <w:sz w:val="20"/>
              </w:rPr>
            </w:pPr>
            <w:r>
              <w:rPr>
                <w:b w:val="0"/>
                <w:sz w:val="20"/>
              </w:rPr>
              <w:t>Berlin, Germany</w:t>
            </w:r>
          </w:p>
        </w:tc>
        <w:tc>
          <w:tcPr>
            <w:tcW w:w="1715" w:type="dxa"/>
            <w:vAlign w:val="center"/>
          </w:tcPr>
          <w:p w14:paraId="07DD20E1" w14:textId="77777777" w:rsidR="00CA09B2" w:rsidRDefault="00CA09B2">
            <w:pPr>
              <w:pStyle w:val="T2"/>
              <w:spacing w:after="0"/>
              <w:ind w:left="0" w:right="0"/>
              <w:rPr>
                <w:b w:val="0"/>
                <w:sz w:val="20"/>
              </w:rPr>
            </w:pPr>
          </w:p>
        </w:tc>
        <w:tc>
          <w:tcPr>
            <w:tcW w:w="1647" w:type="dxa"/>
            <w:vAlign w:val="center"/>
          </w:tcPr>
          <w:p w14:paraId="49430D63" w14:textId="77777777" w:rsidR="00CA09B2" w:rsidRDefault="001742F1">
            <w:pPr>
              <w:pStyle w:val="T2"/>
              <w:spacing w:after="0"/>
              <w:ind w:left="0" w:right="0"/>
              <w:rPr>
                <w:b w:val="0"/>
                <w:sz w:val="16"/>
              </w:rPr>
            </w:pPr>
            <w:hyperlink r:id="rId8" w:history="1">
              <w:r w:rsidR="00F11C50" w:rsidRPr="00972C30">
                <w:rPr>
                  <w:rStyle w:val="Kpr"/>
                  <w:b w:val="0"/>
                  <w:sz w:val="16"/>
                </w:rPr>
                <w:t>volker.jungnickel@hhi.fraunhofer.de</w:t>
              </w:r>
            </w:hyperlink>
          </w:p>
        </w:tc>
      </w:tr>
      <w:tr w:rsidR="00F11C50" w14:paraId="782CA8AF" w14:textId="77777777">
        <w:trPr>
          <w:jc w:val="center"/>
        </w:trPr>
        <w:tc>
          <w:tcPr>
            <w:tcW w:w="1336" w:type="dxa"/>
            <w:vAlign w:val="center"/>
          </w:tcPr>
          <w:p w14:paraId="49C2F4E3" w14:textId="77777777" w:rsidR="00F11C50" w:rsidRDefault="00F11C50">
            <w:pPr>
              <w:pStyle w:val="T2"/>
              <w:spacing w:after="0"/>
              <w:ind w:left="0" w:right="0"/>
              <w:rPr>
                <w:b w:val="0"/>
                <w:sz w:val="20"/>
              </w:rPr>
            </w:pPr>
            <w:r>
              <w:rPr>
                <w:b w:val="0"/>
                <w:sz w:val="20"/>
              </w:rPr>
              <w:t xml:space="preserve">Nikola </w:t>
            </w:r>
            <w:proofErr w:type="spellStart"/>
            <w:r>
              <w:rPr>
                <w:b w:val="0"/>
                <w:sz w:val="20"/>
              </w:rPr>
              <w:t>Serafimovski</w:t>
            </w:r>
            <w:proofErr w:type="spellEnd"/>
          </w:p>
        </w:tc>
        <w:tc>
          <w:tcPr>
            <w:tcW w:w="2064" w:type="dxa"/>
            <w:vAlign w:val="center"/>
          </w:tcPr>
          <w:p w14:paraId="5739818E" w14:textId="77777777" w:rsidR="00F11C50" w:rsidRDefault="00F11C50">
            <w:pPr>
              <w:pStyle w:val="T2"/>
              <w:spacing w:after="0"/>
              <w:ind w:left="0" w:right="0"/>
              <w:rPr>
                <w:b w:val="0"/>
                <w:sz w:val="20"/>
              </w:rPr>
            </w:pPr>
            <w:proofErr w:type="spellStart"/>
            <w:r>
              <w:rPr>
                <w:b w:val="0"/>
                <w:sz w:val="20"/>
              </w:rPr>
              <w:t>Purelifi</w:t>
            </w:r>
            <w:proofErr w:type="spellEnd"/>
          </w:p>
        </w:tc>
        <w:tc>
          <w:tcPr>
            <w:tcW w:w="2814" w:type="dxa"/>
            <w:vAlign w:val="center"/>
          </w:tcPr>
          <w:p w14:paraId="542BFD4D" w14:textId="77777777" w:rsidR="00F11C50" w:rsidRDefault="00F11C50">
            <w:pPr>
              <w:pStyle w:val="T2"/>
              <w:spacing w:after="0"/>
              <w:ind w:left="0" w:right="0"/>
              <w:rPr>
                <w:b w:val="0"/>
                <w:sz w:val="20"/>
              </w:rPr>
            </w:pPr>
            <w:r>
              <w:rPr>
                <w:b w:val="0"/>
                <w:sz w:val="20"/>
              </w:rPr>
              <w:t>United Kingdom</w:t>
            </w:r>
          </w:p>
        </w:tc>
        <w:tc>
          <w:tcPr>
            <w:tcW w:w="1715" w:type="dxa"/>
            <w:vAlign w:val="center"/>
          </w:tcPr>
          <w:p w14:paraId="36A14F36" w14:textId="77777777" w:rsidR="00F11C50" w:rsidRDefault="00F11C50">
            <w:pPr>
              <w:pStyle w:val="T2"/>
              <w:spacing w:after="0"/>
              <w:ind w:left="0" w:right="0"/>
              <w:rPr>
                <w:b w:val="0"/>
                <w:sz w:val="20"/>
              </w:rPr>
            </w:pPr>
          </w:p>
        </w:tc>
        <w:tc>
          <w:tcPr>
            <w:tcW w:w="1647" w:type="dxa"/>
            <w:vAlign w:val="center"/>
          </w:tcPr>
          <w:p w14:paraId="65689518" w14:textId="77777777" w:rsidR="00F11C50" w:rsidRDefault="00F11C50">
            <w:pPr>
              <w:pStyle w:val="T2"/>
              <w:spacing w:after="0"/>
              <w:ind w:left="0" w:right="0"/>
              <w:rPr>
                <w:b w:val="0"/>
                <w:sz w:val="16"/>
              </w:rPr>
            </w:pPr>
            <w:r w:rsidRPr="00F11C50">
              <w:rPr>
                <w:rStyle w:val="Kpr"/>
                <w:b w:val="0"/>
                <w:sz w:val="16"/>
              </w:rPr>
              <w:t>nikola.serafimovski@purelifi.com</w:t>
            </w:r>
          </w:p>
        </w:tc>
      </w:tr>
    </w:tbl>
    <w:p w14:paraId="64504226" w14:textId="77777777" w:rsidR="00CA09B2" w:rsidRDefault="00F11C50">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7083A2EF" wp14:editId="050EA27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122E6" w14:textId="77777777" w:rsidR="0029020B" w:rsidRDefault="0029020B">
                            <w:pPr>
                              <w:pStyle w:val="T1"/>
                              <w:spacing w:after="120"/>
                            </w:pPr>
                            <w:r>
                              <w:t>Abstract</w:t>
                            </w:r>
                          </w:p>
                          <w:p w14:paraId="50647CB6" w14:textId="77777777" w:rsidR="00F11C50" w:rsidRPr="00F11C50" w:rsidRDefault="00F11C50" w:rsidP="00F11C50">
                            <w:pPr>
                              <w:pStyle w:val="NormalGirinti"/>
                              <w:ind w:left="0"/>
                              <w:jc w:val="both"/>
                              <w:rPr>
                                <w:rFonts w:eastAsia="Times New Roman"/>
                                <w:sz w:val="22"/>
                                <w:lang w:val="en-GB"/>
                              </w:rPr>
                            </w:pPr>
                            <w:r w:rsidRPr="00F11C50">
                              <w:rPr>
                                <w:rFonts w:eastAsia="Times New Roman"/>
                                <w:sz w:val="22"/>
                                <w:lang w:val="en-GB"/>
                              </w:rPr>
                              <w:t xml:space="preserve">This document describes the coexistence properties of IEEE Std. 802.11bb, a standard </w:t>
                            </w:r>
                            <w:r w:rsidR="00CA7845">
                              <w:rPr>
                                <w:rFonts w:eastAsia="Times New Roman"/>
                                <w:sz w:val="22"/>
                                <w:lang w:val="en-GB"/>
                              </w:rPr>
                              <w:t>defining operation in</w:t>
                            </w:r>
                            <w:r w:rsidRPr="00F11C50">
                              <w:rPr>
                                <w:rFonts w:eastAsia="Times New Roman"/>
                                <w:sz w:val="22"/>
                                <w:lang w:val="en-GB"/>
                              </w:rPr>
                              <w:t xml:space="preserve"> optical spectrum. While the standard describes the MAC and PHY layers, the focus of this document is on coexistence.</w:t>
                            </w:r>
                          </w:p>
                          <w:p w14:paraId="3A1143EF" w14:textId="77777777" w:rsidR="0029020B" w:rsidRDefault="0029020B" w:rsidP="00F11C5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75BA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F11C50" w:rsidRPr="00F11C50" w:rsidRDefault="00F11C50" w:rsidP="00F11C50">
                      <w:pPr>
                        <w:pStyle w:val="Standardeinzug"/>
                        <w:ind w:left="0"/>
                        <w:jc w:val="both"/>
                        <w:rPr>
                          <w:rFonts w:eastAsia="Times New Roman"/>
                          <w:sz w:val="22"/>
                          <w:lang w:val="en-GB"/>
                        </w:rPr>
                      </w:pPr>
                      <w:r w:rsidRPr="00F11C50">
                        <w:rPr>
                          <w:rFonts w:eastAsia="Times New Roman"/>
                          <w:sz w:val="22"/>
                          <w:lang w:val="en-GB"/>
                        </w:rPr>
                        <w:t xml:space="preserve">This document describes the coexistence properties of IEEE Std. 802.11bb, a standard </w:t>
                      </w:r>
                      <w:r w:rsidR="00CA7845">
                        <w:rPr>
                          <w:rFonts w:eastAsia="Times New Roman"/>
                          <w:sz w:val="22"/>
                          <w:lang w:val="en-GB"/>
                        </w:rPr>
                        <w:t>defining operation in</w:t>
                      </w:r>
                      <w:r w:rsidRPr="00F11C50">
                        <w:rPr>
                          <w:rFonts w:eastAsia="Times New Roman"/>
                          <w:sz w:val="22"/>
                          <w:lang w:val="en-GB"/>
                        </w:rPr>
                        <w:t xml:space="preserve"> optical spectrum. While the standard describes the MAC and PHY layers, the focus of this document is on coexistence.</w:t>
                      </w:r>
                    </w:p>
                    <w:p w:rsidR="0029020B" w:rsidRDefault="0029020B" w:rsidP="00F11C50">
                      <w:pPr>
                        <w:jc w:val="both"/>
                      </w:pPr>
                    </w:p>
                  </w:txbxContent>
                </v:textbox>
              </v:shape>
            </w:pict>
          </mc:Fallback>
        </mc:AlternateContent>
      </w:r>
    </w:p>
    <w:p w14:paraId="7606A051" w14:textId="77777777" w:rsidR="00F11C50" w:rsidRDefault="00CA09B2" w:rsidP="00F11C50">
      <w:r>
        <w:br w:type="page"/>
      </w:r>
      <w:r w:rsidR="00F11C50">
        <w:lastRenderedPageBreak/>
        <w:t xml:space="preserve"> </w:t>
      </w:r>
    </w:p>
    <w:p w14:paraId="77412E92" w14:textId="77777777" w:rsidR="00F11C50" w:rsidRDefault="00F11C50" w:rsidP="00F11C50">
      <w:pPr>
        <w:pStyle w:val="Balk1"/>
        <w:keepLines w:val="0"/>
        <w:numPr>
          <w:ilvl w:val="0"/>
          <w:numId w:val="1"/>
        </w:numPr>
        <w:spacing w:before="240" w:after="60"/>
        <w:rPr>
          <w:szCs w:val="28"/>
        </w:rPr>
      </w:pPr>
      <w:bookmarkStart w:id="0" w:name="_Toc164991550"/>
      <w:r>
        <w:rPr>
          <w:szCs w:val="28"/>
        </w:rPr>
        <w:t>Introduction</w:t>
      </w:r>
      <w:bookmarkEnd w:id="0"/>
    </w:p>
    <w:p w14:paraId="1AA48DA7" w14:textId="77777777" w:rsidR="00F11C50" w:rsidRDefault="00F11C50" w:rsidP="00F11C50">
      <w:pPr>
        <w:pStyle w:val="NormalGirinti"/>
        <w:ind w:left="0"/>
        <w:rPr>
          <w:sz w:val="28"/>
          <w:szCs w:val="28"/>
        </w:rPr>
      </w:pPr>
    </w:p>
    <w:p w14:paraId="35DB07D3" w14:textId="3C368B8B" w:rsidR="00FB5575" w:rsidRPr="00FB5575" w:rsidRDefault="00FB5575" w:rsidP="00FB5575">
      <w:pPr>
        <w:pStyle w:val="NormalGirinti"/>
        <w:ind w:left="0"/>
        <w:jc w:val="both"/>
        <w:rPr>
          <w:sz w:val="22"/>
          <w:szCs w:val="22"/>
        </w:rPr>
      </w:pPr>
      <w:r w:rsidRPr="00FB5575">
        <w:rPr>
          <w:sz w:val="22"/>
          <w:szCs w:val="22"/>
        </w:rPr>
        <w:t>This document is supplemental to</w:t>
      </w:r>
      <w:r>
        <w:rPr>
          <w:sz w:val="22"/>
          <w:szCs w:val="22"/>
        </w:rPr>
        <w:t xml:space="preserve"> the</w:t>
      </w:r>
      <w:r w:rsidRPr="00FB5575">
        <w:rPr>
          <w:sz w:val="22"/>
          <w:szCs w:val="22"/>
        </w:rPr>
        <w:t xml:space="preserve"> IEEE</w:t>
      </w:r>
      <w:r w:rsidR="00590C17">
        <w:rPr>
          <w:sz w:val="22"/>
          <w:szCs w:val="22"/>
        </w:rPr>
        <w:t xml:space="preserve"> </w:t>
      </w:r>
      <w:r w:rsidRPr="00FB5575">
        <w:rPr>
          <w:sz w:val="22"/>
          <w:szCs w:val="22"/>
        </w:rPr>
        <w:t xml:space="preserve">802.11bb </w:t>
      </w:r>
      <w:r>
        <w:rPr>
          <w:sz w:val="22"/>
          <w:szCs w:val="22"/>
        </w:rPr>
        <w:t xml:space="preserve">standard under development </w:t>
      </w:r>
      <w:r w:rsidRPr="00FB5575">
        <w:rPr>
          <w:sz w:val="22"/>
          <w:szCs w:val="22"/>
        </w:rPr>
        <w:t>and describes the coexistence properties of</w:t>
      </w:r>
      <w:r w:rsidR="008C62D7">
        <w:rPr>
          <w:sz w:val="22"/>
          <w:szCs w:val="22"/>
        </w:rPr>
        <w:t xml:space="preserve"> </w:t>
      </w:r>
      <w:r w:rsidR="00590C17">
        <w:rPr>
          <w:sz w:val="22"/>
          <w:szCs w:val="22"/>
        </w:rPr>
        <w:t xml:space="preserve">IEEE </w:t>
      </w:r>
      <w:r w:rsidRPr="00FB5575">
        <w:rPr>
          <w:sz w:val="22"/>
          <w:szCs w:val="22"/>
        </w:rPr>
        <w:t xml:space="preserve">802.11bb, </w:t>
      </w:r>
      <w:r w:rsidR="00CA7845">
        <w:rPr>
          <w:sz w:val="22"/>
          <w:szCs w:val="22"/>
        </w:rPr>
        <w:t>which specifies</w:t>
      </w:r>
      <w:r>
        <w:rPr>
          <w:sz w:val="22"/>
          <w:szCs w:val="22"/>
        </w:rPr>
        <w:t xml:space="preserve"> operation in</w:t>
      </w:r>
      <w:r w:rsidRPr="00FB5575">
        <w:rPr>
          <w:sz w:val="22"/>
          <w:szCs w:val="22"/>
        </w:rPr>
        <w:t xml:space="preserve"> optical spectrum. While the standard describes the MAC and PHY layers, the focus of this document is on coexistence.</w:t>
      </w:r>
    </w:p>
    <w:p w14:paraId="2EC8006C" w14:textId="77777777" w:rsidR="00FB5575" w:rsidRPr="00F11C50" w:rsidRDefault="00FB5575" w:rsidP="00F11C50">
      <w:pPr>
        <w:pStyle w:val="NormalGirinti"/>
        <w:ind w:left="0"/>
        <w:jc w:val="both"/>
        <w:rPr>
          <w:sz w:val="22"/>
          <w:szCs w:val="22"/>
        </w:rPr>
      </w:pPr>
    </w:p>
    <w:p w14:paraId="49C4EFBF" w14:textId="77777777" w:rsidR="00F11C50" w:rsidRDefault="00F11C50" w:rsidP="00F11C50">
      <w:pPr>
        <w:pStyle w:val="Balk1"/>
        <w:keepLines w:val="0"/>
        <w:numPr>
          <w:ilvl w:val="0"/>
          <w:numId w:val="1"/>
        </w:numPr>
        <w:spacing w:before="240" w:after="60"/>
        <w:rPr>
          <w:szCs w:val="28"/>
        </w:rPr>
      </w:pPr>
      <w:bookmarkStart w:id="1" w:name="_Toc164991551"/>
      <w:r>
        <w:rPr>
          <w:szCs w:val="28"/>
        </w:rPr>
        <w:t>Background</w:t>
      </w:r>
      <w:bookmarkEnd w:id="1"/>
    </w:p>
    <w:p w14:paraId="232E5B4A" w14:textId="77777777" w:rsidR="00F11C50" w:rsidRPr="00BD1F6E" w:rsidRDefault="00F11C50" w:rsidP="00F11C50"/>
    <w:p w14:paraId="4470E4BF" w14:textId="77777777" w:rsidR="00F11C50" w:rsidRDefault="00FB5575" w:rsidP="00F11C50">
      <w:pPr>
        <w:autoSpaceDE w:val="0"/>
        <w:autoSpaceDN w:val="0"/>
        <w:adjustRightInd w:val="0"/>
        <w:rPr>
          <w:b/>
          <w:sz w:val="28"/>
          <w:szCs w:val="28"/>
        </w:rPr>
      </w:pPr>
      <w:r>
        <w:rPr>
          <w:b/>
          <w:sz w:val="28"/>
          <w:szCs w:val="28"/>
        </w:rPr>
        <w:t>Excerpts from the</w:t>
      </w:r>
      <w:r w:rsidR="00B1078E">
        <w:rPr>
          <w:b/>
          <w:sz w:val="28"/>
          <w:szCs w:val="28"/>
        </w:rPr>
        <w:t xml:space="preserve"> </w:t>
      </w:r>
      <w:r w:rsidR="00590C17">
        <w:rPr>
          <w:b/>
          <w:sz w:val="28"/>
          <w:szCs w:val="28"/>
        </w:rPr>
        <w:t xml:space="preserve">IEEE </w:t>
      </w:r>
      <w:r w:rsidR="00F11C50">
        <w:rPr>
          <w:b/>
          <w:sz w:val="28"/>
          <w:szCs w:val="28"/>
        </w:rPr>
        <w:t xml:space="preserve">802.11bb </w:t>
      </w:r>
      <w:r>
        <w:rPr>
          <w:b/>
          <w:sz w:val="28"/>
          <w:szCs w:val="28"/>
        </w:rPr>
        <w:t>Project Authorization Request (PAR)</w:t>
      </w:r>
    </w:p>
    <w:p w14:paraId="3A045C70" w14:textId="77777777" w:rsidR="00F11C50" w:rsidRDefault="00F11C50" w:rsidP="00F11C50">
      <w:pPr>
        <w:autoSpaceDE w:val="0"/>
        <w:autoSpaceDN w:val="0"/>
        <w:adjustRightInd w:val="0"/>
        <w:ind w:left="720"/>
        <w:rPr>
          <w:b/>
          <w:sz w:val="28"/>
          <w:szCs w:val="28"/>
        </w:rPr>
      </w:pPr>
    </w:p>
    <w:p w14:paraId="545B017D" w14:textId="77777777" w:rsidR="00F11C50" w:rsidRPr="00F11C50" w:rsidRDefault="00F11C50" w:rsidP="00F11C50">
      <w:pPr>
        <w:autoSpaceDE w:val="0"/>
        <w:autoSpaceDN w:val="0"/>
        <w:adjustRightInd w:val="0"/>
        <w:rPr>
          <w:szCs w:val="28"/>
        </w:rPr>
      </w:pPr>
      <w:r w:rsidRPr="00F11C50">
        <w:rPr>
          <w:b/>
          <w:szCs w:val="28"/>
        </w:rPr>
        <w:t>Title:</w:t>
      </w:r>
      <w:r w:rsidRPr="00F11C50">
        <w:rPr>
          <w:szCs w:val="28"/>
        </w:rPr>
        <w:t xml:space="preserve">  Standard for Information Technology--Telecommunications and Information Exchange Between Systems Local and Metropolitan Area Networks--Specific Requirements - Part 11: Wireless LAN Medium Access Control (MAC) and Physical Layer (PHY) Specifications Amendment: Light Communications</w:t>
      </w:r>
    </w:p>
    <w:p w14:paraId="4254F938" w14:textId="77777777" w:rsidR="00F11C50" w:rsidRPr="00F11C50" w:rsidRDefault="00F11C50" w:rsidP="00F11C50">
      <w:pPr>
        <w:widowControl w:val="0"/>
        <w:spacing w:before="120"/>
        <w:rPr>
          <w:szCs w:val="28"/>
        </w:rPr>
      </w:pPr>
    </w:p>
    <w:p w14:paraId="50E9A6E5" w14:textId="77777777" w:rsidR="00F11C50" w:rsidRPr="00F11C50" w:rsidRDefault="00F11C50" w:rsidP="00F11C50">
      <w:pPr>
        <w:autoSpaceDE w:val="0"/>
        <w:autoSpaceDN w:val="0"/>
        <w:adjustRightInd w:val="0"/>
        <w:rPr>
          <w:szCs w:val="28"/>
        </w:rPr>
      </w:pPr>
      <w:r w:rsidRPr="00F11C50">
        <w:rPr>
          <w:b/>
          <w:bCs/>
          <w:szCs w:val="28"/>
        </w:rPr>
        <w:t xml:space="preserve">5.2 Scope: </w:t>
      </w:r>
      <w:r w:rsidRPr="00F11C50">
        <w:rPr>
          <w:szCs w:val="28"/>
        </w:rPr>
        <w:t>This amendment specifies a new PHY layer and modifications to the IEEE 802.11 MAC that enable operation of wireless light communications (LC). This amendment specifies a PHY that provides:</w:t>
      </w:r>
    </w:p>
    <w:p w14:paraId="2EB478F5" w14:textId="77777777" w:rsidR="00F11C50" w:rsidRPr="00F11C50" w:rsidRDefault="00F11C50" w:rsidP="00F11C50">
      <w:pPr>
        <w:pStyle w:val="ListeParagraf"/>
        <w:numPr>
          <w:ilvl w:val="0"/>
          <w:numId w:val="4"/>
        </w:numPr>
        <w:autoSpaceDE w:val="0"/>
        <w:autoSpaceDN w:val="0"/>
        <w:adjustRightInd w:val="0"/>
        <w:rPr>
          <w:sz w:val="22"/>
          <w:szCs w:val="28"/>
        </w:rPr>
      </w:pPr>
      <w:r w:rsidRPr="00F11C50">
        <w:rPr>
          <w:sz w:val="22"/>
          <w:szCs w:val="28"/>
        </w:rPr>
        <w:t>Uplink and downlink operations in 800 nm to 1,000 nm band,</w:t>
      </w:r>
    </w:p>
    <w:p w14:paraId="5C9119B5" w14:textId="77777777" w:rsidR="00F11C50" w:rsidRPr="00F11C50" w:rsidRDefault="00F11C50" w:rsidP="00F11C50">
      <w:pPr>
        <w:pStyle w:val="ListeParagraf"/>
        <w:numPr>
          <w:ilvl w:val="0"/>
          <w:numId w:val="4"/>
        </w:numPr>
        <w:autoSpaceDE w:val="0"/>
        <w:autoSpaceDN w:val="0"/>
        <w:adjustRightInd w:val="0"/>
        <w:rPr>
          <w:sz w:val="22"/>
          <w:szCs w:val="28"/>
        </w:rPr>
      </w:pPr>
      <w:r w:rsidRPr="00F11C50">
        <w:rPr>
          <w:sz w:val="22"/>
          <w:szCs w:val="28"/>
        </w:rPr>
        <w:t>All modes of operation achieve minimum single-link throughput of 10 Mb/s as measured at the MAC data service access point (SAP),</w:t>
      </w:r>
    </w:p>
    <w:p w14:paraId="45941244" w14:textId="77777777" w:rsidR="00F11C50" w:rsidRPr="00F11C50" w:rsidRDefault="00F11C50" w:rsidP="00F11C50">
      <w:pPr>
        <w:pStyle w:val="ListeParagraf"/>
        <w:numPr>
          <w:ilvl w:val="0"/>
          <w:numId w:val="4"/>
        </w:numPr>
        <w:autoSpaceDE w:val="0"/>
        <w:autoSpaceDN w:val="0"/>
        <w:adjustRightInd w:val="0"/>
        <w:rPr>
          <w:sz w:val="22"/>
          <w:szCs w:val="28"/>
        </w:rPr>
      </w:pPr>
      <w:r w:rsidRPr="00F11C50">
        <w:rPr>
          <w:sz w:val="22"/>
          <w:szCs w:val="28"/>
        </w:rPr>
        <w:t>Interoperability among solid state light sources with different modulation bandwidths.</w:t>
      </w:r>
    </w:p>
    <w:p w14:paraId="5C8D888D" w14:textId="77777777" w:rsidR="00F11C50" w:rsidRPr="00F11C50" w:rsidRDefault="00F11C50" w:rsidP="00F11C50">
      <w:pPr>
        <w:autoSpaceDE w:val="0"/>
        <w:autoSpaceDN w:val="0"/>
        <w:adjustRightInd w:val="0"/>
        <w:rPr>
          <w:szCs w:val="28"/>
        </w:rPr>
      </w:pPr>
      <w:r w:rsidRPr="00F11C50">
        <w:rPr>
          <w:szCs w:val="28"/>
        </w:rPr>
        <w:t>This amendment specifies changes to the IEEE 802.11 MAC that are limited to the following:</w:t>
      </w:r>
    </w:p>
    <w:p w14:paraId="3CBC7EDC" w14:textId="77777777" w:rsidR="00F11C50" w:rsidRPr="00F11C50" w:rsidRDefault="00F11C50" w:rsidP="00F11C50">
      <w:pPr>
        <w:pStyle w:val="ListeParagraf"/>
        <w:numPr>
          <w:ilvl w:val="0"/>
          <w:numId w:val="5"/>
        </w:numPr>
        <w:autoSpaceDE w:val="0"/>
        <w:autoSpaceDN w:val="0"/>
        <w:adjustRightInd w:val="0"/>
        <w:rPr>
          <w:sz w:val="22"/>
          <w:szCs w:val="28"/>
        </w:rPr>
      </w:pPr>
      <w:r w:rsidRPr="00F11C50">
        <w:rPr>
          <w:sz w:val="22"/>
          <w:szCs w:val="28"/>
        </w:rPr>
        <w:t>Hybrid coordination function (HCF) channel access,</w:t>
      </w:r>
    </w:p>
    <w:p w14:paraId="265B9E82" w14:textId="77777777" w:rsidR="00F11C50" w:rsidRPr="00F11C50" w:rsidRDefault="00F11C50" w:rsidP="00F11C50">
      <w:pPr>
        <w:pStyle w:val="ListeParagraf"/>
        <w:numPr>
          <w:ilvl w:val="0"/>
          <w:numId w:val="5"/>
        </w:numPr>
        <w:autoSpaceDE w:val="0"/>
        <w:autoSpaceDN w:val="0"/>
        <w:adjustRightInd w:val="0"/>
        <w:rPr>
          <w:sz w:val="22"/>
          <w:szCs w:val="28"/>
        </w:rPr>
      </w:pPr>
      <w:r w:rsidRPr="00F11C50">
        <w:rPr>
          <w:sz w:val="22"/>
          <w:szCs w:val="28"/>
        </w:rPr>
        <w:t>Overlapping basic service set (OBSS) detection and coexistence,</w:t>
      </w:r>
    </w:p>
    <w:p w14:paraId="23DC99E0" w14:textId="77777777" w:rsidR="00F11C50" w:rsidRPr="00F11C50" w:rsidRDefault="00F11C50" w:rsidP="00F11C50">
      <w:pPr>
        <w:pStyle w:val="ListeParagraf"/>
        <w:numPr>
          <w:ilvl w:val="0"/>
          <w:numId w:val="5"/>
        </w:numPr>
        <w:autoSpaceDE w:val="0"/>
        <w:autoSpaceDN w:val="0"/>
        <w:adjustRightInd w:val="0"/>
        <w:rPr>
          <w:sz w:val="22"/>
          <w:szCs w:val="28"/>
        </w:rPr>
      </w:pPr>
      <w:r w:rsidRPr="00F11C50">
        <w:rPr>
          <w:sz w:val="22"/>
          <w:szCs w:val="28"/>
        </w:rPr>
        <w:t>Existing power management modes of operation (excluding new modes), and modifications to other clauses necessary to support these changes.</w:t>
      </w:r>
    </w:p>
    <w:p w14:paraId="6107E623" w14:textId="77777777" w:rsidR="00F11C50" w:rsidRPr="00F11C50" w:rsidRDefault="00F11C50" w:rsidP="00F11C50">
      <w:pPr>
        <w:autoSpaceDE w:val="0"/>
        <w:autoSpaceDN w:val="0"/>
        <w:adjustRightInd w:val="0"/>
        <w:rPr>
          <w:b/>
          <w:bCs/>
          <w:szCs w:val="28"/>
        </w:rPr>
      </w:pPr>
    </w:p>
    <w:p w14:paraId="0714BCA9" w14:textId="77777777" w:rsidR="00F11C50" w:rsidRPr="00F11C50" w:rsidRDefault="00F11C50" w:rsidP="00F11C50">
      <w:pPr>
        <w:autoSpaceDE w:val="0"/>
        <w:autoSpaceDN w:val="0"/>
        <w:adjustRightInd w:val="0"/>
        <w:rPr>
          <w:sz w:val="24"/>
          <w:szCs w:val="28"/>
        </w:rPr>
      </w:pPr>
      <w:r w:rsidRPr="00F11C50">
        <w:rPr>
          <w:b/>
          <w:bCs/>
          <w:szCs w:val="28"/>
        </w:rPr>
        <w:t xml:space="preserve">5.4 Purpose: </w:t>
      </w:r>
      <w:r w:rsidRPr="00F11C50">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4196611B" w14:textId="77777777" w:rsidR="00F11C50" w:rsidRPr="005143B7" w:rsidRDefault="00F11C50" w:rsidP="00F11C50">
      <w:pPr>
        <w:widowControl w:val="0"/>
        <w:spacing w:before="120"/>
        <w:rPr>
          <w:bCs/>
          <w:sz w:val="28"/>
          <w:szCs w:val="28"/>
        </w:rPr>
      </w:pPr>
    </w:p>
    <w:p w14:paraId="41182E1D" w14:textId="77777777" w:rsidR="00F11C50" w:rsidRDefault="00F11C50" w:rsidP="00F11C50">
      <w:pPr>
        <w:pStyle w:val="Balk1"/>
        <w:keepLines w:val="0"/>
        <w:numPr>
          <w:ilvl w:val="0"/>
          <w:numId w:val="2"/>
        </w:numPr>
        <w:spacing w:before="240" w:after="60"/>
      </w:pPr>
      <w:r>
        <w:t xml:space="preserve">Coexistence of </w:t>
      </w:r>
      <w:r w:rsidR="00590C17">
        <w:t xml:space="preserve">IEEE </w:t>
      </w:r>
      <w:r>
        <w:t>802.11bb with other standards</w:t>
      </w:r>
    </w:p>
    <w:p w14:paraId="57ADD830" w14:textId="77777777" w:rsidR="00F11C50" w:rsidRDefault="00F11C50" w:rsidP="00F11C50">
      <w:pPr>
        <w:widowControl w:val="0"/>
        <w:spacing w:before="120"/>
        <w:ind w:left="360"/>
        <w:rPr>
          <w:bCs/>
          <w:sz w:val="28"/>
          <w:szCs w:val="28"/>
        </w:rPr>
      </w:pPr>
      <w:r>
        <w:rPr>
          <w:bCs/>
          <w:sz w:val="28"/>
          <w:szCs w:val="28"/>
        </w:rPr>
        <w:t xml:space="preserve">     </w:t>
      </w:r>
    </w:p>
    <w:p w14:paraId="434B987B" w14:textId="77777777" w:rsidR="00F11C50" w:rsidRPr="00F11C50" w:rsidRDefault="00F11C50" w:rsidP="00F11C50">
      <w:pPr>
        <w:pStyle w:val="IEEEStdsParagraph"/>
        <w:rPr>
          <w:sz w:val="22"/>
        </w:rPr>
      </w:pPr>
      <w:r w:rsidRPr="00F11C50">
        <w:rPr>
          <w:sz w:val="22"/>
        </w:rPr>
        <w:t>Light does not interfere with other parts of the electromagnetic spectrum and communication below 3 THz but operates in an orthogonal part of the electromagnetic spectrum.</w:t>
      </w:r>
    </w:p>
    <w:p w14:paraId="462587DE" w14:textId="77777777" w:rsidR="00F11C50" w:rsidRPr="00F11C50" w:rsidRDefault="00F11C50" w:rsidP="00F11C50">
      <w:pPr>
        <w:pStyle w:val="IEEEStdsParagraph"/>
        <w:rPr>
          <w:sz w:val="22"/>
        </w:rPr>
      </w:pPr>
      <w:r w:rsidRPr="00F11C50">
        <w:rPr>
          <w:sz w:val="22"/>
        </w:rPr>
        <w:t>The propagation of light is confined within the illuminated area, typically spanning a few meters diameter of illuminated area. In addition, the directivity of light helps minimizing interference with neighboring networks.</w:t>
      </w:r>
    </w:p>
    <w:p w14:paraId="28DA19AE" w14:textId="77777777" w:rsidR="00F11C50" w:rsidRDefault="00F11C50" w:rsidP="00F11C50">
      <w:pPr>
        <w:pStyle w:val="IEEEStdsParagraph"/>
        <w:rPr>
          <w:sz w:val="22"/>
        </w:rPr>
      </w:pPr>
      <w:r w:rsidRPr="00F11C50">
        <w:rPr>
          <w:sz w:val="22"/>
        </w:rPr>
        <w:t xml:space="preserve">Prior to starting a new network, </w:t>
      </w:r>
      <w:r w:rsidR="00406507">
        <w:rPr>
          <w:sz w:val="22"/>
        </w:rPr>
        <w:t>the installers</w:t>
      </w:r>
      <w:r w:rsidRPr="00F11C50">
        <w:rPr>
          <w:sz w:val="22"/>
        </w:rPr>
        <w:t xml:space="preserve"> are </w:t>
      </w:r>
      <w:r w:rsidR="00212C48">
        <w:rPr>
          <w:sz w:val="22"/>
        </w:rPr>
        <w:t>recommended</w:t>
      </w:r>
      <w:r w:rsidRPr="00F11C50">
        <w:rPr>
          <w:sz w:val="22"/>
        </w:rPr>
        <w:t xml:space="preserve"> to ensure that there are no overlapping LC networks in operation. </w:t>
      </w:r>
    </w:p>
    <w:p w14:paraId="5217ED5E" w14:textId="77777777" w:rsidR="00391642" w:rsidRPr="00F11C50" w:rsidRDefault="00391642" w:rsidP="00F11C50">
      <w:pPr>
        <w:pStyle w:val="IEEEStdsParagraph"/>
        <w:rPr>
          <w:sz w:val="22"/>
        </w:rPr>
      </w:pPr>
      <w:r>
        <w:rPr>
          <w:sz w:val="22"/>
        </w:rPr>
        <w:t xml:space="preserve">IEEE P802.11bb uses the same CCA mechanisms currently used by HT, VHT and HE.  </w:t>
      </w:r>
    </w:p>
    <w:p w14:paraId="7AFA2216" w14:textId="77777777" w:rsidR="00F11C50" w:rsidRPr="00F11C50" w:rsidRDefault="00F11C50" w:rsidP="00F11C50">
      <w:pPr>
        <w:pStyle w:val="IEEEStdsParagraph"/>
        <w:rPr>
          <w:sz w:val="22"/>
        </w:rPr>
      </w:pPr>
      <w:r w:rsidRPr="00F11C50">
        <w:rPr>
          <w:sz w:val="22"/>
        </w:rPr>
        <w:lastRenderedPageBreak/>
        <w:t xml:space="preserve">The current standards </w:t>
      </w:r>
      <w:r w:rsidR="00FB5575">
        <w:rPr>
          <w:sz w:val="22"/>
        </w:rPr>
        <w:t xml:space="preserve">defining operation </w:t>
      </w:r>
      <w:r w:rsidRPr="00F11C50">
        <w:rPr>
          <w:sz w:val="22"/>
        </w:rPr>
        <w:t>in light spectrum are</w:t>
      </w:r>
      <w:r w:rsidR="00ED6E44">
        <w:rPr>
          <w:sz w:val="22"/>
        </w:rPr>
        <w:t xml:space="preserve"> listed below:</w:t>
      </w:r>
    </w:p>
    <w:p w14:paraId="68FA9841" w14:textId="77777777" w:rsidR="00F11C50" w:rsidRPr="00F11C50" w:rsidRDefault="00F11C50" w:rsidP="00F11C50">
      <w:pPr>
        <w:pStyle w:val="IEEEStdsParagraph"/>
        <w:numPr>
          <w:ilvl w:val="0"/>
          <w:numId w:val="3"/>
        </w:numPr>
        <w:rPr>
          <w:sz w:val="22"/>
        </w:rPr>
      </w:pPr>
      <w:r w:rsidRPr="00F11C50">
        <w:rPr>
          <w:sz w:val="22"/>
        </w:rPr>
        <w:t>Remote controls</w:t>
      </w:r>
    </w:p>
    <w:p w14:paraId="70AFF5F6" w14:textId="77777777" w:rsidR="00F11C50" w:rsidRDefault="00F11C50" w:rsidP="00F11C50">
      <w:pPr>
        <w:pStyle w:val="IEEEStdsParagraph"/>
        <w:numPr>
          <w:ilvl w:val="1"/>
          <w:numId w:val="3"/>
        </w:numPr>
        <w:rPr>
          <w:sz w:val="22"/>
        </w:rPr>
      </w:pPr>
      <w:r w:rsidRPr="00F11C50">
        <w:rPr>
          <w:sz w:val="22"/>
        </w:rPr>
        <w:t xml:space="preserve">Remote controls are narrowband and their modulation spectrum is not relevant for </w:t>
      </w:r>
      <w:r w:rsidR="00590C17">
        <w:rPr>
          <w:sz w:val="22"/>
        </w:rPr>
        <w:t xml:space="preserve">the IEEE </w:t>
      </w:r>
      <w:r w:rsidRPr="00F11C50">
        <w:rPr>
          <w:sz w:val="22"/>
        </w:rPr>
        <w:t xml:space="preserve">802.11bb which operates at higher modulation frequencies on all its </w:t>
      </w:r>
      <w:proofErr w:type="spellStart"/>
      <w:r w:rsidRPr="00F11C50">
        <w:rPr>
          <w:sz w:val="22"/>
        </w:rPr>
        <w:t>PHYs.</w:t>
      </w:r>
      <w:proofErr w:type="spellEnd"/>
      <w:r w:rsidRPr="00F11C50">
        <w:rPr>
          <w:sz w:val="22"/>
        </w:rPr>
        <w:t xml:space="preserve"> </w:t>
      </w:r>
    </w:p>
    <w:p w14:paraId="297BE457" w14:textId="77777777" w:rsidR="00FB7D34" w:rsidRDefault="00FB7D34" w:rsidP="00FB7D34">
      <w:pPr>
        <w:pStyle w:val="IEEEStdsParagraph"/>
        <w:numPr>
          <w:ilvl w:val="1"/>
          <w:numId w:val="3"/>
        </w:numPr>
        <w:rPr>
          <w:sz w:val="22"/>
        </w:rPr>
      </w:pPr>
      <w:r w:rsidRPr="00FB7D34">
        <w:rPr>
          <w:sz w:val="22"/>
        </w:rPr>
        <w:t xml:space="preserve">A typical Consumer IR (CIR) remote control has an IR Emitter Diode (IRED) that emits electromagnetic energy with a frequency of 319,928,146,808,510Hz and a wavelength of about 940nm. </w:t>
      </w:r>
      <w:r w:rsidRPr="00FB7D34">
        <w:rPr>
          <w:sz w:val="22"/>
        </w:rPr>
        <w:cr/>
      </w:r>
    </w:p>
    <w:p w14:paraId="10F3AEC2" w14:textId="77777777" w:rsidR="00F14FD8" w:rsidRDefault="00F14FD8" w:rsidP="00F14FD8">
      <w:pPr>
        <w:pStyle w:val="IEEEStdsParagraph"/>
        <w:numPr>
          <w:ilvl w:val="0"/>
          <w:numId w:val="3"/>
        </w:numPr>
        <w:rPr>
          <w:sz w:val="22"/>
        </w:rPr>
      </w:pPr>
      <w:r w:rsidRPr="00F11C50">
        <w:rPr>
          <w:sz w:val="22"/>
        </w:rPr>
        <w:t xml:space="preserve">IrDA in various variants up to </w:t>
      </w:r>
      <w:proofErr w:type="spellStart"/>
      <w:r w:rsidRPr="00F11C50">
        <w:rPr>
          <w:sz w:val="22"/>
        </w:rPr>
        <w:t>GigaIR</w:t>
      </w:r>
      <w:proofErr w:type="spellEnd"/>
    </w:p>
    <w:p w14:paraId="6F83F116" w14:textId="77777777" w:rsidR="00F11C50" w:rsidRPr="00F14FD8" w:rsidRDefault="00F11C50" w:rsidP="00F14FD8">
      <w:pPr>
        <w:pStyle w:val="IEEEStdsParagraph"/>
        <w:numPr>
          <w:ilvl w:val="1"/>
          <w:numId w:val="3"/>
        </w:numPr>
        <w:rPr>
          <w:sz w:val="22"/>
        </w:rPr>
      </w:pPr>
      <w:r w:rsidRPr="00F11C50">
        <w:rPr>
          <w:sz w:val="22"/>
        </w:rPr>
        <w:t xml:space="preserve">IrDA found mass market adoption in </w:t>
      </w:r>
      <w:r w:rsidR="00FB5575">
        <w:rPr>
          <w:sz w:val="22"/>
        </w:rPr>
        <w:t xml:space="preserve">the </w:t>
      </w:r>
      <w:r w:rsidRPr="00F11C50">
        <w:rPr>
          <w:sz w:val="22"/>
        </w:rPr>
        <w:t>1990s, operating in infrared</w:t>
      </w:r>
      <w:r w:rsidR="00FB5575">
        <w:rPr>
          <w:sz w:val="22"/>
        </w:rPr>
        <w:t xml:space="preserve"> spectrum</w:t>
      </w:r>
      <w:r w:rsidRPr="00F11C50">
        <w:rPr>
          <w:sz w:val="22"/>
        </w:rPr>
        <w:t xml:space="preserve">. Modern devices replaced IrDA </w:t>
      </w:r>
      <w:r w:rsidR="00FB5575">
        <w:rPr>
          <w:sz w:val="22"/>
        </w:rPr>
        <w:t>with</w:t>
      </w:r>
      <w:r w:rsidR="00FB5575" w:rsidRPr="00F11C50">
        <w:rPr>
          <w:sz w:val="22"/>
        </w:rPr>
        <w:t xml:space="preserve"> </w:t>
      </w:r>
      <w:r w:rsidRPr="00F11C50">
        <w:rPr>
          <w:sz w:val="22"/>
        </w:rPr>
        <w:t xml:space="preserve">Bluetooth and 802.11. Given the rapid replacement of mobile devices in the market, it can be concluded that IrDA is no longer relevant in the market, i.e. there is no need to consider coexistence </w:t>
      </w:r>
      <w:r w:rsidR="00FB5575">
        <w:rPr>
          <w:sz w:val="22"/>
        </w:rPr>
        <w:t>with</w:t>
      </w:r>
      <w:r w:rsidR="00FB5575" w:rsidRPr="00F11C50">
        <w:rPr>
          <w:sz w:val="22"/>
        </w:rPr>
        <w:t xml:space="preserve"> </w:t>
      </w:r>
      <w:r w:rsidRPr="00F11C50">
        <w:rPr>
          <w:sz w:val="22"/>
        </w:rPr>
        <w:t>802.11bb.</w:t>
      </w:r>
      <w:r w:rsidR="00F14FD8" w:rsidRPr="00F14FD8">
        <w:rPr>
          <w:sz w:val="22"/>
        </w:rPr>
        <w:t xml:space="preserve"> </w:t>
      </w:r>
    </w:p>
    <w:p w14:paraId="33C4C411" w14:textId="3EB9C91C" w:rsidR="00FB7D34" w:rsidRPr="00C81142" w:rsidRDefault="00FB7D34" w:rsidP="009A0F22">
      <w:pPr>
        <w:pStyle w:val="IEEEStdsParagraph"/>
        <w:numPr>
          <w:ilvl w:val="1"/>
          <w:numId w:val="3"/>
        </w:numPr>
        <w:rPr>
          <w:sz w:val="22"/>
        </w:rPr>
      </w:pPr>
      <w:r w:rsidRPr="00C81142">
        <w:rPr>
          <w:sz w:val="22"/>
        </w:rPr>
        <w:t xml:space="preserve">IrDA operates between </w:t>
      </w:r>
      <w:r w:rsidR="00F14FD8">
        <w:rPr>
          <w:sz w:val="22"/>
        </w:rPr>
        <w:t>850</w:t>
      </w:r>
      <w:r w:rsidRPr="00C81142">
        <w:rPr>
          <w:sz w:val="22"/>
        </w:rPr>
        <w:t xml:space="preserve"> nm and </w:t>
      </w:r>
      <w:r w:rsidR="00F14FD8">
        <w:rPr>
          <w:sz w:val="22"/>
        </w:rPr>
        <w:t>900</w:t>
      </w:r>
      <w:r w:rsidR="00C81142">
        <w:rPr>
          <w:sz w:val="22"/>
        </w:rPr>
        <w:t xml:space="preserve"> </w:t>
      </w:r>
      <w:r w:rsidR="00F14FD8">
        <w:rPr>
          <w:sz w:val="22"/>
        </w:rPr>
        <w:t>n</w:t>
      </w:r>
      <w:r w:rsidRPr="00C81142">
        <w:rPr>
          <w:sz w:val="22"/>
        </w:rPr>
        <w:t>m</w:t>
      </w:r>
      <w:r w:rsidR="008C62D7">
        <w:rPr>
          <w:sz w:val="22"/>
        </w:rPr>
        <w:t xml:space="preserve"> [1]. </w:t>
      </w:r>
    </w:p>
    <w:p w14:paraId="1EA28962" w14:textId="77777777" w:rsidR="00F11C50" w:rsidRPr="00F11C50" w:rsidRDefault="00F11C50" w:rsidP="00F11C50">
      <w:pPr>
        <w:pStyle w:val="IEEEStdsParagraph"/>
        <w:numPr>
          <w:ilvl w:val="0"/>
          <w:numId w:val="3"/>
        </w:numPr>
        <w:rPr>
          <w:sz w:val="22"/>
        </w:rPr>
      </w:pPr>
      <w:r w:rsidRPr="00F11C50">
        <w:rPr>
          <w:sz w:val="22"/>
        </w:rPr>
        <w:t xml:space="preserve">IEEE </w:t>
      </w:r>
      <w:r w:rsidR="00B1078E">
        <w:rPr>
          <w:sz w:val="22"/>
        </w:rPr>
        <w:t xml:space="preserve">Std </w:t>
      </w:r>
      <w:r w:rsidRPr="00F11C50">
        <w:rPr>
          <w:sz w:val="22"/>
        </w:rPr>
        <w:t>802.15.7-2018</w:t>
      </w:r>
    </w:p>
    <w:p w14:paraId="5C7D39D5" w14:textId="5DD85398" w:rsidR="00F11C50" w:rsidRDefault="00590C17" w:rsidP="00F11C50">
      <w:pPr>
        <w:pStyle w:val="IEEEStdsParagraph"/>
        <w:numPr>
          <w:ilvl w:val="1"/>
          <w:numId w:val="3"/>
        </w:numPr>
        <w:rPr>
          <w:sz w:val="22"/>
        </w:rPr>
      </w:pPr>
      <w:r>
        <w:rPr>
          <w:sz w:val="22"/>
        </w:rPr>
        <w:t xml:space="preserve">IEEE Std </w:t>
      </w:r>
      <w:r w:rsidR="00F11C50" w:rsidRPr="00F11C50">
        <w:rPr>
          <w:sz w:val="22"/>
        </w:rPr>
        <w:t>802.15.7-2018 define</w:t>
      </w:r>
      <w:r w:rsidR="00FB5575">
        <w:rPr>
          <w:sz w:val="22"/>
        </w:rPr>
        <w:t>s</w:t>
      </w:r>
      <w:r w:rsidR="00F11C50" w:rsidRPr="00F11C50">
        <w:rPr>
          <w:sz w:val="22"/>
        </w:rPr>
        <w:t xml:space="preserve"> wireless communication in optical spectrum. </w:t>
      </w:r>
      <w:r w:rsidR="00D93C97" w:rsidRPr="00D93C97">
        <w:rPr>
          <w:sz w:val="22"/>
        </w:rPr>
        <w:t>PHY I, PHY</w:t>
      </w:r>
      <w:r w:rsidR="00B315B1">
        <w:rPr>
          <w:sz w:val="22"/>
        </w:rPr>
        <w:t> </w:t>
      </w:r>
      <w:r w:rsidR="00D93C97" w:rsidRPr="00D93C97">
        <w:rPr>
          <w:sz w:val="22"/>
        </w:rPr>
        <w:t xml:space="preserve">II and PHY III modes in the IEEE Std 802.15.7-2018 can operate with photodiode receivers; PHY IV, PHY V and PHY VI can operate using optical cameras. </w:t>
      </w:r>
      <w:r w:rsidR="00B315B1">
        <w:rPr>
          <w:sz w:val="22"/>
        </w:rPr>
        <w:t xml:space="preserve">PHY I, </w:t>
      </w:r>
      <w:r w:rsidR="00D93C97" w:rsidRPr="00D93C97">
        <w:rPr>
          <w:sz w:val="22"/>
        </w:rPr>
        <w:t>PHY</w:t>
      </w:r>
      <w:r w:rsidR="00B315B1">
        <w:rPr>
          <w:sz w:val="22"/>
        </w:rPr>
        <w:t> </w:t>
      </w:r>
      <w:r w:rsidR="00D93C97" w:rsidRPr="00D93C97">
        <w:rPr>
          <w:sz w:val="22"/>
        </w:rPr>
        <w:t xml:space="preserve">IV, PHY V and PHY VI </w:t>
      </w:r>
      <w:r w:rsidR="00D93C97">
        <w:rPr>
          <w:sz w:val="22"/>
        </w:rPr>
        <w:t>use frequencies below the LC IF spectrum</w:t>
      </w:r>
      <w:r w:rsidR="00D93C97" w:rsidRPr="00D93C97">
        <w:rPr>
          <w:sz w:val="22"/>
        </w:rPr>
        <w:t>.</w:t>
      </w:r>
      <w:r w:rsidR="00D93C97">
        <w:rPr>
          <w:sz w:val="22"/>
        </w:rPr>
        <w:t xml:space="preserve"> </w:t>
      </w:r>
      <w:r w:rsidR="00F11C50" w:rsidRPr="00F11C50">
        <w:rPr>
          <w:sz w:val="22"/>
        </w:rPr>
        <w:t xml:space="preserve">PHY II and PHY III </w:t>
      </w:r>
      <w:r w:rsidR="00B315B1">
        <w:rPr>
          <w:sz w:val="22"/>
        </w:rPr>
        <w:t xml:space="preserve">have </w:t>
      </w:r>
      <w:r w:rsidR="00F11C50" w:rsidRPr="00F11C50">
        <w:rPr>
          <w:sz w:val="22"/>
        </w:rPr>
        <w:t>never</w:t>
      </w:r>
      <w:r w:rsidR="00B315B1">
        <w:rPr>
          <w:sz w:val="22"/>
        </w:rPr>
        <w:t xml:space="preserve"> been</w:t>
      </w:r>
      <w:r w:rsidR="00F11C50" w:rsidRPr="00F11C50">
        <w:rPr>
          <w:sz w:val="22"/>
        </w:rPr>
        <w:t xml:space="preserve"> adopted by the market. Hence, there is no need to consider coexistence </w:t>
      </w:r>
      <w:r w:rsidR="00FB5575">
        <w:rPr>
          <w:sz w:val="22"/>
        </w:rPr>
        <w:t>with</w:t>
      </w:r>
      <w:r w:rsidR="00FB5575" w:rsidRPr="00F11C50">
        <w:rPr>
          <w:sz w:val="22"/>
        </w:rPr>
        <w:t xml:space="preserve"> </w:t>
      </w:r>
      <w:r>
        <w:rPr>
          <w:sz w:val="22"/>
        </w:rPr>
        <w:t xml:space="preserve">the IEEE </w:t>
      </w:r>
      <w:r w:rsidR="00F11C50" w:rsidRPr="00F11C50">
        <w:rPr>
          <w:sz w:val="22"/>
        </w:rPr>
        <w:t>802.11bb.</w:t>
      </w:r>
    </w:p>
    <w:p w14:paraId="3CCBD0AA" w14:textId="4F0BDE16" w:rsidR="00C81142" w:rsidRPr="00F11C50" w:rsidRDefault="00C81142" w:rsidP="00F11C50">
      <w:pPr>
        <w:pStyle w:val="IEEEStdsParagraph"/>
        <w:numPr>
          <w:ilvl w:val="1"/>
          <w:numId w:val="3"/>
        </w:numPr>
        <w:rPr>
          <w:sz w:val="22"/>
        </w:rPr>
      </w:pPr>
      <w:r>
        <w:rPr>
          <w:sz w:val="22"/>
        </w:rPr>
        <w:t>IEEE S</w:t>
      </w:r>
      <w:r w:rsidRPr="00FB7D34">
        <w:rPr>
          <w:sz w:val="22"/>
        </w:rPr>
        <w:t>td 802.15.7, IEEE 802.15.7a and IEEE P802.15.13 use light wavelengths from 10</w:t>
      </w:r>
      <w:r w:rsidR="00B315B1">
        <w:rPr>
          <w:sz w:val="22"/>
        </w:rPr>
        <w:t>,</w:t>
      </w:r>
      <w:r w:rsidRPr="00FB7D34">
        <w:rPr>
          <w:sz w:val="22"/>
        </w:rPr>
        <w:t>000 nm to 190 nm i</w:t>
      </w:r>
      <w:r>
        <w:rPr>
          <w:sz w:val="22"/>
        </w:rPr>
        <w:t xml:space="preserve">n optically transparent media. </w:t>
      </w:r>
    </w:p>
    <w:p w14:paraId="7210E40B" w14:textId="77777777" w:rsidR="00F11C50" w:rsidRPr="00F11C50" w:rsidRDefault="00F11C50" w:rsidP="00F11C50">
      <w:pPr>
        <w:pStyle w:val="IEEEStdsParagraph"/>
        <w:numPr>
          <w:ilvl w:val="0"/>
          <w:numId w:val="3"/>
        </w:numPr>
        <w:rPr>
          <w:sz w:val="22"/>
        </w:rPr>
      </w:pPr>
      <w:r w:rsidRPr="00F11C50">
        <w:rPr>
          <w:sz w:val="22"/>
        </w:rPr>
        <w:t>ITU-T G.9991</w:t>
      </w:r>
    </w:p>
    <w:p w14:paraId="0D09757B" w14:textId="77777777" w:rsidR="00F11C50" w:rsidRDefault="00F11C50" w:rsidP="00F11C50">
      <w:pPr>
        <w:pStyle w:val="IEEEStdsParagraph"/>
        <w:numPr>
          <w:ilvl w:val="1"/>
          <w:numId w:val="3"/>
        </w:numPr>
        <w:rPr>
          <w:sz w:val="22"/>
        </w:rPr>
      </w:pPr>
      <w:r w:rsidRPr="00F11C50">
        <w:rPr>
          <w:sz w:val="22"/>
        </w:rPr>
        <w:t xml:space="preserve">Coexistence between the two systems can be ensured by spatial separation or by using different optical wavelengths. </w:t>
      </w:r>
      <w:r w:rsidR="00FB5575">
        <w:rPr>
          <w:sz w:val="22"/>
        </w:rPr>
        <w:t xml:space="preserve"> Implementers are encouraged</w:t>
      </w:r>
      <w:r w:rsidRPr="00F11C50">
        <w:rPr>
          <w:sz w:val="22"/>
        </w:rPr>
        <w:t xml:space="preserve"> </w:t>
      </w:r>
      <w:r w:rsidR="00FB5575">
        <w:rPr>
          <w:sz w:val="22"/>
        </w:rPr>
        <w:t xml:space="preserve">to </w:t>
      </w:r>
      <w:r w:rsidRPr="00F11C50">
        <w:rPr>
          <w:sz w:val="22"/>
        </w:rPr>
        <w:t xml:space="preserve">avoid direct overlap of </w:t>
      </w:r>
      <w:r w:rsidR="00590C17">
        <w:rPr>
          <w:sz w:val="22"/>
        </w:rPr>
        <w:t xml:space="preserve">the IEEE </w:t>
      </w:r>
      <w:r w:rsidRPr="00F11C50">
        <w:rPr>
          <w:sz w:val="22"/>
        </w:rPr>
        <w:t xml:space="preserve">802.11bb and ITU-T G.9991 systems to avoid interference. </w:t>
      </w:r>
    </w:p>
    <w:p w14:paraId="3EECB059" w14:textId="2687DCFF" w:rsidR="00C81142" w:rsidRPr="00C81142" w:rsidRDefault="00C81142" w:rsidP="00C81142">
      <w:pPr>
        <w:pStyle w:val="IEEEStdsParagraph"/>
        <w:numPr>
          <w:ilvl w:val="1"/>
          <w:numId w:val="3"/>
        </w:numPr>
        <w:rPr>
          <w:sz w:val="22"/>
        </w:rPr>
      </w:pPr>
      <w:r w:rsidRPr="00FB7D34">
        <w:rPr>
          <w:sz w:val="22"/>
        </w:rPr>
        <w:t>ITU-T G.9991 defines two wavelength bands, which are visible light (380 nm-780 nm) and infrared (800</w:t>
      </w:r>
      <w:r w:rsidR="008C62D7">
        <w:rPr>
          <w:sz w:val="22"/>
        </w:rPr>
        <w:t xml:space="preserve"> </w:t>
      </w:r>
      <w:r w:rsidRPr="00FB7D34">
        <w:rPr>
          <w:sz w:val="22"/>
        </w:rPr>
        <w:t>nm</w:t>
      </w:r>
      <w:r w:rsidR="008C62D7">
        <w:rPr>
          <w:sz w:val="22"/>
        </w:rPr>
        <w:t xml:space="preserve"> – </w:t>
      </w:r>
      <w:r w:rsidRPr="00FB7D34">
        <w:rPr>
          <w:sz w:val="22"/>
        </w:rPr>
        <w:t>1675</w:t>
      </w:r>
      <w:r w:rsidR="008C62D7">
        <w:rPr>
          <w:sz w:val="22"/>
        </w:rPr>
        <w:t xml:space="preserve"> </w:t>
      </w:r>
      <w:r w:rsidRPr="00FB7D34">
        <w:rPr>
          <w:sz w:val="22"/>
        </w:rPr>
        <w:t>nm).</w:t>
      </w:r>
    </w:p>
    <w:p w14:paraId="193616CF" w14:textId="77777777" w:rsidR="00F11C50" w:rsidRPr="00F11C50" w:rsidRDefault="00F11C50" w:rsidP="00F11C50">
      <w:pPr>
        <w:pStyle w:val="IEEEStdsParagraph"/>
        <w:numPr>
          <w:ilvl w:val="0"/>
          <w:numId w:val="3"/>
        </w:numPr>
        <w:rPr>
          <w:sz w:val="22"/>
        </w:rPr>
      </w:pPr>
      <w:r w:rsidRPr="00F11C50">
        <w:rPr>
          <w:sz w:val="22"/>
        </w:rPr>
        <w:t>IEEE P802.15.13</w:t>
      </w:r>
    </w:p>
    <w:p w14:paraId="4B15B9D2" w14:textId="77777777" w:rsidR="00F11C50" w:rsidRPr="00F11C50" w:rsidRDefault="00F11C50" w:rsidP="00F11C50">
      <w:pPr>
        <w:pStyle w:val="IEEEStdsParagraph"/>
        <w:numPr>
          <w:ilvl w:val="1"/>
          <w:numId w:val="3"/>
        </w:numPr>
        <w:rPr>
          <w:sz w:val="22"/>
        </w:rPr>
      </w:pPr>
      <w:r w:rsidRPr="00F11C50">
        <w:rPr>
          <w:sz w:val="22"/>
        </w:rPr>
        <w:t>Coexistence between the two systems can be ensured by spatial separation or by using different optical wavelengths.</w:t>
      </w:r>
      <w:r w:rsidR="00FB5575">
        <w:rPr>
          <w:sz w:val="22"/>
        </w:rPr>
        <w:t xml:space="preserve"> Implementers are encouraged to</w:t>
      </w:r>
      <w:r>
        <w:rPr>
          <w:sz w:val="22"/>
        </w:rPr>
        <w:t xml:space="preserve"> </w:t>
      </w:r>
      <w:r w:rsidRPr="00F11C50">
        <w:rPr>
          <w:sz w:val="22"/>
        </w:rPr>
        <w:t xml:space="preserve">avoid direct overlap of </w:t>
      </w:r>
      <w:r w:rsidR="00590C17">
        <w:rPr>
          <w:sz w:val="22"/>
        </w:rPr>
        <w:t xml:space="preserve">IEEE </w:t>
      </w:r>
      <w:r w:rsidRPr="00F11C50">
        <w:rPr>
          <w:sz w:val="22"/>
        </w:rPr>
        <w:t xml:space="preserve">802.11bb and </w:t>
      </w:r>
      <w:r w:rsidR="00590C17">
        <w:rPr>
          <w:sz w:val="22"/>
        </w:rPr>
        <w:t xml:space="preserve">IEEE </w:t>
      </w:r>
      <w:r w:rsidRPr="00F11C50">
        <w:rPr>
          <w:sz w:val="22"/>
        </w:rPr>
        <w:t>802.1</w:t>
      </w:r>
      <w:r w:rsidR="00F352F0">
        <w:rPr>
          <w:sz w:val="22"/>
        </w:rPr>
        <w:t>5</w:t>
      </w:r>
      <w:r w:rsidRPr="00F11C50">
        <w:rPr>
          <w:sz w:val="22"/>
        </w:rPr>
        <w:t>.1</w:t>
      </w:r>
      <w:r w:rsidR="00F352F0">
        <w:rPr>
          <w:sz w:val="22"/>
        </w:rPr>
        <w:t>3</w:t>
      </w:r>
      <w:r w:rsidRPr="00F11C50">
        <w:rPr>
          <w:sz w:val="22"/>
        </w:rPr>
        <w:t xml:space="preserve"> systems to avoid interference.</w:t>
      </w:r>
    </w:p>
    <w:p w14:paraId="1B869717" w14:textId="77777777" w:rsidR="00F11C50" w:rsidRPr="00F11C50" w:rsidRDefault="00F11C50" w:rsidP="00F11C50">
      <w:pPr>
        <w:pStyle w:val="IEEEStdsParagraph"/>
        <w:numPr>
          <w:ilvl w:val="0"/>
          <w:numId w:val="3"/>
        </w:numPr>
        <w:rPr>
          <w:sz w:val="22"/>
        </w:rPr>
      </w:pPr>
      <w:r w:rsidRPr="00F11C50">
        <w:rPr>
          <w:sz w:val="22"/>
        </w:rPr>
        <w:t>IEEE 802.15.7a</w:t>
      </w:r>
    </w:p>
    <w:p w14:paraId="155F131E" w14:textId="77777777" w:rsidR="00F11C50" w:rsidRPr="00B1078E" w:rsidRDefault="00F11C50" w:rsidP="00B1078E">
      <w:pPr>
        <w:pStyle w:val="IEEEStdsParagraph"/>
        <w:numPr>
          <w:ilvl w:val="1"/>
          <w:numId w:val="3"/>
        </w:numPr>
        <w:rPr>
          <w:sz w:val="22"/>
        </w:rPr>
      </w:pPr>
      <w:r w:rsidRPr="00F11C50">
        <w:rPr>
          <w:sz w:val="22"/>
        </w:rPr>
        <w:t xml:space="preserve">Coexistence between the two systems can be ensured by spatial separation or by using different optical wavelengths.  </w:t>
      </w:r>
    </w:p>
    <w:p w14:paraId="7B6D1D7E" w14:textId="77777777" w:rsidR="00F11C50" w:rsidRPr="00954648" w:rsidRDefault="00F11C50" w:rsidP="00F11C50">
      <w:pPr>
        <w:pStyle w:val="Balk1"/>
        <w:keepLines w:val="0"/>
        <w:numPr>
          <w:ilvl w:val="0"/>
          <w:numId w:val="2"/>
        </w:numPr>
        <w:spacing w:before="240" w:after="60"/>
        <w:rPr>
          <w:b w:val="0"/>
          <w:szCs w:val="28"/>
        </w:rPr>
      </w:pPr>
      <w:bookmarkStart w:id="2" w:name="_Toc164991570"/>
      <w:r w:rsidRPr="00954648">
        <w:rPr>
          <w:szCs w:val="28"/>
        </w:rPr>
        <w:lastRenderedPageBreak/>
        <w:t>Conclusion</w:t>
      </w:r>
      <w:bookmarkEnd w:id="2"/>
    </w:p>
    <w:p w14:paraId="24116270" w14:textId="1553D31A" w:rsidR="00FB5575" w:rsidRPr="00F11C50" w:rsidRDefault="00FB5575" w:rsidP="00F11C50">
      <w:pPr>
        <w:widowControl w:val="0"/>
        <w:spacing w:before="120"/>
        <w:jc w:val="both"/>
        <w:rPr>
          <w:szCs w:val="28"/>
        </w:rPr>
      </w:pPr>
      <w:r>
        <w:rPr>
          <w:szCs w:val="28"/>
        </w:rPr>
        <w:t>Based on the analysis above, t</w:t>
      </w:r>
      <w:r w:rsidRPr="00FB5575">
        <w:rPr>
          <w:szCs w:val="28"/>
        </w:rPr>
        <w:t>he</w:t>
      </w:r>
      <w:r w:rsidR="00590C17">
        <w:rPr>
          <w:szCs w:val="28"/>
        </w:rPr>
        <w:t xml:space="preserve"> IEEE</w:t>
      </w:r>
      <w:r w:rsidRPr="00FB5575">
        <w:rPr>
          <w:szCs w:val="28"/>
        </w:rPr>
        <w:t xml:space="preserve"> 802.11 </w:t>
      </w:r>
      <w:r>
        <w:rPr>
          <w:szCs w:val="28"/>
        </w:rPr>
        <w:t>WG</w:t>
      </w:r>
      <w:r w:rsidRPr="00FB5575">
        <w:rPr>
          <w:szCs w:val="28"/>
        </w:rPr>
        <w:t xml:space="preserve"> believes that </w:t>
      </w:r>
      <w:r>
        <w:rPr>
          <w:szCs w:val="28"/>
        </w:rPr>
        <w:t xml:space="preserve">devices compliant with </w:t>
      </w:r>
      <w:r w:rsidRPr="00FB5575">
        <w:rPr>
          <w:szCs w:val="28"/>
        </w:rPr>
        <w:t xml:space="preserve">the </w:t>
      </w:r>
      <w:r w:rsidR="00590C17">
        <w:rPr>
          <w:szCs w:val="28"/>
        </w:rPr>
        <w:t xml:space="preserve">IEEE </w:t>
      </w:r>
      <w:r w:rsidR="007B538C">
        <w:rPr>
          <w:szCs w:val="28"/>
        </w:rPr>
        <w:t>P</w:t>
      </w:r>
      <w:r>
        <w:rPr>
          <w:szCs w:val="28"/>
        </w:rPr>
        <w:t xml:space="preserve">802.11bb </w:t>
      </w:r>
      <w:r w:rsidRPr="00FB5575">
        <w:rPr>
          <w:szCs w:val="28"/>
        </w:rPr>
        <w:t xml:space="preserve">will be able to coexist </w:t>
      </w:r>
      <w:r w:rsidR="00406507">
        <w:rPr>
          <w:szCs w:val="28"/>
        </w:rPr>
        <w:t xml:space="preserve">only when the implementers assure that there is suitable wavelength or spatial separation between IEEE </w:t>
      </w:r>
      <w:r w:rsidR="007B538C">
        <w:rPr>
          <w:szCs w:val="28"/>
        </w:rPr>
        <w:t>P</w:t>
      </w:r>
      <w:r w:rsidR="00406507">
        <w:rPr>
          <w:szCs w:val="28"/>
        </w:rPr>
        <w:t xml:space="preserve">802.11bb devices and those devices using </w:t>
      </w:r>
      <w:r>
        <w:rPr>
          <w:szCs w:val="28"/>
        </w:rPr>
        <w:t>other</w:t>
      </w:r>
      <w:r w:rsidRPr="00FB5575">
        <w:rPr>
          <w:szCs w:val="28"/>
        </w:rPr>
        <w:t xml:space="preserve"> standards </w:t>
      </w:r>
      <w:r w:rsidR="00ED6E44">
        <w:rPr>
          <w:szCs w:val="28"/>
        </w:rPr>
        <w:t xml:space="preserve">available in the market </w:t>
      </w:r>
      <w:r w:rsidRPr="00FB5575">
        <w:rPr>
          <w:szCs w:val="28"/>
        </w:rPr>
        <w:t>in the field of optical wireless communications.</w:t>
      </w:r>
      <w:r w:rsidR="00AE4FAE">
        <w:rPr>
          <w:szCs w:val="28"/>
        </w:rPr>
        <w:t xml:space="preserve"> IEEE </w:t>
      </w:r>
      <w:r w:rsidR="007B538C">
        <w:rPr>
          <w:szCs w:val="28"/>
        </w:rPr>
        <w:t>P</w:t>
      </w:r>
      <w:r w:rsidR="00AE4FAE">
        <w:rPr>
          <w:szCs w:val="28"/>
        </w:rPr>
        <w:t xml:space="preserve">802.11bb devices that are collocated and share the same IF frequencies with other standards operating in the same optical spectrum will cause co-channel interference and may not operate. </w:t>
      </w:r>
      <w:r w:rsidRPr="00FB5575">
        <w:rPr>
          <w:szCs w:val="28"/>
        </w:rPr>
        <w:t xml:space="preserve"> </w:t>
      </w:r>
    </w:p>
    <w:p w14:paraId="49FA194F" w14:textId="53F1BD0C" w:rsidR="00CA09B2" w:rsidRDefault="00CA09B2"/>
    <w:p w14:paraId="7BEE51BE" w14:textId="00C2E4CE" w:rsidR="008C62D7" w:rsidRDefault="008C62D7"/>
    <w:p w14:paraId="0AE0467F" w14:textId="16F54E1A" w:rsidR="008C62D7" w:rsidRPr="00954648" w:rsidRDefault="008C62D7" w:rsidP="008C62D7">
      <w:pPr>
        <w:pStyle w:val="Balk1"/>
        <w:keepLines w:val="0"/>
        <w:spacing w:before="240" w:after="60"/>
        <w:ind w:left="927"/>
        <w:rPr>
          <w:b w:val="0"/>
          <w:szCs w:val="28"/>
        </w:rPr>
      </w:pPr>
      <w:r>
        <w:rPr>
          <w:szCs w:val="28"/>
        </w:rPr>
        <w:t>References</w:t>
      </w:r>
    </w:p>
    <w:p w14:paraId="4FD07333" w14:textId="77777777" w:rsidR="008C62D7" w:rsidRDefault="008C62D7"/>
    <w:p w14:paraId="1AA9D580" w14:textId="77777777" w:rsidR="00CA09B2" w:rsidRDefault="00CA09B2"/>
    <w:p w14:paraId="00705543" w14:textId="35FB53BD" w:rsidR="00CA09B2" w:rsidRPr="003A191E" w:rsidRDefault="008C62D7">
      <w:pPr>
        <w:rPr>
          <w:b/>
          <w:sz w:val="24"/>
        </w:rPr>
      </w:pPr>
      <w:r>
        <w:t xml:space="preserve">[1] </w:t>
      </w:r>
      <w:hyperlink r:id="rId9" w:history="1">
        <w:r w:rsidRPr="008743D2">
          <w:rPr>
            <w:rStyle w:val="Kpr"/>
          </w:rPr>
          <w:t>https://www.rfwireless-world.com/Terminology/IrDA-vs-WLAN-vs-Bluetooth.html</w:t>
        </w:r>
      </w:hyperlink>
      <w:r w:rsidRPr="00C81142">
        <w:t xml:space="preserve">. </w:t>
      </w:r>
      <w:r w:rsidRPr="00C81142">
        <w:cr/>
      </w:r>
    </w:p>
    <w:sectPr w:rsidR="00CA09B2" w:rsidRPr="003A191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CFF5" w14:textId="77777777" w:rsidR="001742F1" w:rsidRDefault="001742F1">
      <w:r>
        <w:separator/>
      </w:r>
    </w:p>
  </w:endnote>
  <w:endnote w:type="continuationSeparator" w:id="0">
    <w:p w14:paraId="4071D023" w14:textId="77777777" w:rsidR="001742F1" w:rsidRDefault="0017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086F" w14:textId="20D20576" w:rsidR="0029020B" w:rsidRDefault="006F065C">
    <w:pPr>
      <w:pStyle w:val="AltBilgi"/>
      <w:tabs>
        <w:tab w:val="clear" w:pos="6480"/>
        <w:tab w:val="center" w:pos="4680"/>
        <w:tab w:val="right" w:pos="9360"/>
      </w:tabs>
    </w:pPr>
    <w:fldSimple w:instr=" SUBJECT  \* MERGEFORMAT ">
      <w:r w:rsidR="00B1078E">
        <w:t>Submission</w:t>
      </w:r>
    </w:fldSimple>
    <w:r w:rsidR="0029020B">
      <w:tab/>
      <w:t xml:space="preserve">page </w:t>
    </w:r>
    <w:r w:rsidR="0029020B">
      <w:fldChar w:fldCharType="begin"/>
    </w:r>
    <w:r w:rsidR="0029020B">
      <w:instrText xml:space="preserve">page </w:instrText>
    </w:r>
    <w:r w:rsidR="0029020B">
      <w:fldChar w:fldCharType="separate"/>
    </w:r>
    <w:r w:rsidR="00AF7185">
      <w:rPr>
        <w:noProof/>
      </w:rPr>
      <w:t>4</w:t>
    </w:r>
    <w:r w:rsidR="0029020B">
      <w:fldChar w:fldCharType="end"/>
    </w:r>
    <w:r w:rsidR="0029020B">
      <w:tab/>
    </w:r>
    <w:proofErr w:type="spellStart"/>
    <w:r w:rsidR="00F11C50">
      <w:t>Tuncer</w:t>
    </w:r>
    <w:proofErr w:type="spellEnd"/>
    <w:r w:rsidR="00F11C50">
      <w:t xml:space="preserve"> </w:t>
    </w:r>
    <w:proofErr w:type="spellStart"/>
    <w:r w:rsidR="00F11C50">
      <w:t>Baykas</w:t>
    </w:r>
    <w:proofErr w:type="spellEnd"/>
    <w:r w:rsidR="00F11C50">
      <w:t xml:space="preserve">, </w:t>
    </w:r>
    <w:r w:rsidR="008C62D7">
      <w:t>Kadir Has Uni</w:t>
    </w:r>
  </w:p>
  <w:p w14:paraId="6830872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82EE" w14:textId="77777777" w:rsidR="001742F1" w:rsidRDefault="001742F1">
      <w:r>
        <w:separator/>
      </w:r>
    </w:p>
  </w:footnote>
  <w:footnote w:type="continuationSeparator" w:id="0">
    <w:p w14:paraId="78FEAA3C" w14:textId="77777777" w:rsidR="001742F1" w:rsidRDefault="0017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0DFF" w14:textId="7488026D" w:rsidR="0029020B" w:rsidRDefault="008C62D7">
    <w:pPr>
      <w:pStyle w:val="stBilgi"/>
      <w:tabs>
        <w:tab w:val="clear" w:pos="6480"/>
        <w:tab w:val="center" w:pos="4680"/>
        <w:tab w:val="right" w:pos="9360"/>
      </w:tabs>
    </w:pPr>
    <w:r>
      <w:t>March</w:t>
    </w:r>
    <w:r>
      <w:t xml:space="preserve"> </w:t>
    </w:r>
    <w:r w:rsidR="00F11C50">
      <w:t>202</w:t>
    </w:r>
    <w:r>
      <w:t>2</w:t>
    </w:r>
    <w:r w:rsidR="0029020B">
      <w:tab/>
    </w:r>
    <w:r w:rsidR="0029020B">
      <w:tab/>
    </w:r>
    <w:r>
      <w:fldChar w:fldCharType="begin"/>
    </w:r>
    <w:r>
      <w:instrText xml:space="preserve"> TITLE  \* MERGEFORMAT </w:instrText>
    </w:r>
    <w:r>
      <w:fldChar w:fldCharType="separate"/>
    </w:r>
    <w:r>
      <w:t>doc.: IEEE 802.11-21/1876r</w:t>
    </w:r>
    <w: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38C"/>
    <w:multiLevelType w:val="hybridMultilevel"/>
    <w:tmpl w:val="47E223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1CC26DA"/>
    <w:multiLevelType w:val="hybridMultilevel"/>
    <w:tmpl w:val="F33028C2"/>
    <w:lvl w:ilvl="0" w:tplc="51F81A36">
      <w:start w:val="80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7C403F"/>
    <w:multiLevelType w:val="hybridMultilevel"/>
    <w:tmpl w:val="0F56B0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F4C46"/>
    <w:multiLevelType w:val="hybridMultilevel"/>
    <w:tmpl w:val="E04699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C20E0C"/>
    <w:multiLevelType w:val="multilevel"/>
    <w:tmpl w:val="1C0A2C66"/>
    <w:lvl w:ilvl="0">
      <w:start w:val="3"/>
      <w:numFmt w:val="decimal"/>
      <w:lvlText w:val="%1."/>
      <w:lvlJc w:val="left"/>
      <w:pPr>
        <w:tabs>
          <w:tab w:val="num" w:pos="927"/>
        </w:tabs>
        <w:ind w:left="927" w:hanging="360"/>
      </w:pPr>
      <w:rPr>
        <w:rFonts w:hint="default"/>
        <w:color w:val="auto"/>
      </w:rPr>
    </w:lvl>
    <w:lvl w:ilvl="1">
      <w:start w:val="1"/>
      <w:numFmt w:val="lowerLetter"/>
      <w:lvlText w:val="%2)"/>
      <w:lvlJc w:val="left"/>
      <w:pPr>
        <w:tabs>
          <w:tab w:val="num" w:pos="1287"/>
        </w:tabs>
        <w:ind w:left="1287" w:hanging="360"/>
      </w:pPr>
      <w:rPr>
        <w:rFonts w:hint="default"/>
      </w:rPr>
    </w:lvl>
    <w:lvl w:ilvl="2">
      <w:start w:val="1"/>
      <w:numFmt w:val="lowerLetter"/>
      <w:lvlText w:val="%3)"/>
      <w:lvlJc w:val="left"/>
      <w:pPr>
        <w:tabs>
          <w:tab w:val="num" w:pos="1647"/>
        </w:tabs>
        <w:ind w:left="1647" w:hanging="360"/>
      </w:pPr>
      <w:rPr>
        <w:rFonts w:hint="default"/>
      </w:rPr>
    </w:lvl>
    <w:lvl w:ilvl="3">
      <w:start w:val="1"/>
      <w:numFmt w:val="lowerLetter"/>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Letter"/>
      <w:lvlText w:val="%6)"/>
      <w:lvlJc w:val="left"/>
      <w:pPr>
        <w:tabs>
          <w:tab w:val="num" w:pos="2727"/>
        </w:tabs>
        <w:ind w:left="2727" w:hanging="360"/>
      </w:pPr>
      <w:rPr>
        <w:rFonts w:hint="default"/>
      </w:rPr>
    </w:lvl>
    <w:lvl w:ilvl="6">
      <w:start w:val="1"/>
      <w:numFmt w:val="lowerLetter"/>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Letter"/>
      <w:lvlText w:val="%9)"/>
      <w:lvlJc w:val="left"/>
      <w:pPr>
        <w:tabs>
          <w:tab w:val="num" w:pos="3807"/>
        </w:tabs>
        <w:ind w:left="3807" w:hanging="360"/>
      </w:pPr>
      <w:rPr>
        <w:rFonts w:hint="default"/>
      </w:rPr>
    </w:lvl>
  </w:abstractNum>
  <w:abstractNum w:abstractNumId="5" w15:restartNumberingAfterBreak="0">
    <w:nsid w:val="70C7441D"/>
    <w:multiLevelType w:val="multilevel"/>
    <w:tmpl w:val="1C0A2C66"/>
    <w:lvl w:ilvl="0">
      <w:start w:val="3"/>
      <w:numFmt w:val="decimal"/>
      <w:lvlText w:val="%1."/>
      <w:lvlJc w:val="left"/>
      <w:pPr>
        <w:tabs>
          <w:tab w:val="num" w:pos="927"/>
        </w:tabs>
        <w:ind w:left="927" w:hanging="360"/>
      </w:pPr>
      <w:rPr>
        <w:rFonts w:hint="default"/>
        <w:color w:val="auto"/>
      </w:rPr>
    </w:lvl>
    <w:lvl w:ilvl="1">
      <w:start w:val="1"/>
      <w:numFmt w:val="lowerLetter"/>
      <w:lvlText w:val="%2)"/>
      <w:lvlJc w:val="left"/>
      <w:pPr>
        <w:tabs>
          <w:tab w:val="num" w:pos="1287"/>
        </w:tabs>
        <w:ind w:left="1287" w:hanging="360"/>
      </w:pPr>
      <w:rPr>
        <w:rFonts w:hint="default"/>
      </w:rPr>
    </w:lvl>
    <w:lvl w:ilvl="2">
      <w:start w:val="1"/>
      <w:numFmt w:val="lowerLetter"/>
      <w:lvlText w:val="%3)"/>
      <w:lvlJc w:val="left"/>
      <w:pPr>
        <w:tabs>
          <w:tab w:val="num" w:pos="1647"/>
        </w:tabs>
        <w:ind w:left="1647" w:hanging="360"/>
      </w:pPr>
      <w:rPr>
        <w:rFonts w:hint="default"/>
      </w:rPr>
    </w:lvl>
    <w:lvl w:ilvl="3">
      <w:start w:val="1"/>
      <w:numFmt w:val="lowerLetter"/>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Letter"/>
      <w:lvlText w:val="%6)"/>
      <w:lvlJc w:val="left"/>
      <w:pPr>
        <w:tabs>
          <w:tab w:val="num" w:pos="2727"/>
        </w:tabs>
        <w:ind w:left="2727" w:hanging="360"/>
      </w:pPr>
      <w:rPr>
        <w:rFonts w:hint="default"/>
      </w:rPr>
    </w:lvl>
    <w:lvl w:ilvl="6">
      <w:start w:val="1"/>
      <w:numFmt w:val="lowerLetter"/>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Letter"/>
      <w:lvlText w:val="%9)"/>
      <w:lvlJc w:val="left"/>
      <w:pPr>
        <w:tabs>
          <w:tab w:val="num" w:pos="3807"/>
        </w:tabs>
        <w:ind w:left="3807" w:hanging="360"/>
      </w:pPr>
      <w:rPr>
        <w:rFont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50"/>
    <w:rsid w:val="00084FAB"/>
    <w:rsid w:val="001742F1"/>
    <w:rsid w:val="001D723B"/>
    <w:rsid w:val="00212C48"/>
    <w:rsid w:val="0029020B"/>
    <w:rsid w:val="002D44BE"/>
    <w:rsid w:val="00391642"/>
    <w:rsid w:val="00392E71"/>
    <w:rsid w:val="003A191E"/>
    <w:rsid w:val="00406507"/>
    <w:rsid w:val="00442037"/>
    <w:rsid w:val="004B064B"/>
    <w:rsid w:val="004F7AE4"/>
    <w:rsid w:val="00590C17"/>
    <w:rsid w:val="005A26F2"/>
    <w:rsid w:val="0062440B"/>
    <w:rsid w:val="006C0727"/>
    <w:rsid w:val="006D6079"/>
    <w:rsid w:val="006E145F"/>
    <w:rsid w:val="006F065C"/>
    <w:rsid w:val="00757729"/>
    <w:rsid w:val="00770572"/>
    <w:rsid w:val="00787A11"/>
    <w:rsid w:val="007B538C"/>
    <w:rsid w:val="007C5BDF"/>
    <w:rsid w:val="008C1F82"/>
    <w:rsid w:val="008C62D7"/>
    <w:rsid w:val="008F30EB"/>
    <w:rsid w:val="00965FD6"/>
    <w:rsid w:val="009A0F22"/>
    <w:rsid w:val="009F2FBC"/>
    <w:rsid w:val="00AA427C"/>
    <w:rsid w:val="00AE4FAE"/>
    <w:rsid w:val="00AF7185"/>
    <w:rsid w:val="00B1078E"/>
    <w:rsid w:val="00B315B1"/>
    <w:rsid w:val="00BB4ED6"/>
    <w:rsid w:val="00BE68C2"/>
    <w:rsid w:val="00C81142"/>
    <w:rsid w:val="00CA09B2"/>
    <w:rsid w:val="00CA7845"/>
    <w:rsid w:val="00D93C97"/>
    <w:rsid w:val="00DC5A7B"/>
    <w:rsid w:val="00E67059"/>
    <w:rsid w:val="00ED6E44"/>
    <w:rsid w:val="00F11C50"/>
    <w:rsid w:val="00F14FD8"/>
    <w:rsid w:val="00F352F0"/>
    <w:rsid w:val="00FB5575"/>
    <w:rsid w:val="00FB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5FACC"/>
  <w15:chartTrackingRefBased/>
  <w15:docId w15:val="{8B43F767-626B-41D5-B583-1D27516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Balk1">
    <w:name w:val="heading 1"/>
    <w:basedOn w:val="Normal"/>
    <w:next w:val="Normal"/>
    <w:link w:val="Balk1Char"/>
    <w:uiPriority w:val="9"/>
    <w:qFormat/>
    <w:pPr>
      <w:keepNext/>
      <w:keepLines/>
      <w:spacing w:before="320"/>
      <w:outlineLvl w:val="0"/>
    </w:pPr>
    <w:rPr>
      <w:rFonts w:ascii="Arial" w:hAnsi="Arial"/>
      <w:b/>
      <w:sz w:val="32"/>
      <w:u w:val="single"/>
    </w:rPr>
  </w:style>
  <w:style w:type="paragraph" w:styleId="Balk2">
    <w:name w:val="heading 2"/>
    <w:basedOn w:val="Normal"/>
    <w:next w:val="Normal"/>
    <w:qFormat/>
    <w:pPr>
      <w:keepNext/>
      <w:keepLines/>
      <w:spacing w:before="280"/>
      <w:outlineLvl w:val="1"/>
    </w:pPr>
    <w:rPr>
      <w:rFonts w:ascii="Arial" w:hAnsi="Arial"/>
      <w:b/>
      <w:sz w:val="28"/>
      <w:u w:val="single"/>
    </w:rPr>
  </w:style>
  <w:style w:type="paragraph" w:styleId="Balk3">
    <w:name w:val="heading 3"/>
    <w:basedOn w:val="Normal"/>
    <w:next w:val="Normal"/>
    <w:qFormat/>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pBdr>
        <w:top w:val="single" w:sz="6" w:space="1" w:color="auto"/>
      </w:pBdr>
      <w:tabs>
        <w:tab w:val="center" w:pos="6480"/>
        <w:tab w:val="right" w:pos="12960"/>
      </w:tabs>
    </w:pPr>
    <w:rPr>
      <w:sz w:val="24"/>
    </w:rPr>
  </w:style>
  <w:style w:type="paragraph" w:styleId="stBilgi">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GvdeMetniGirintisi">
    <w:name w:val="Body Text Indent"/>
    <w:basedOn w:val="Normal"/>
    <w:pPr>
      <w:ind w:left="720" w:hanging="720"/>
    </w:pPr>
  </w:style>
  <w:style w:type="character" w:styleId="Kpr">
    <w:name w:val="Hyperlink"/>
    <w:rPr>
      <w:color w:val="0000FF"/>
      <w:u w:val="single"/>
    </w:rPr>
  </w:style>
  <w:style w:type="paragraph" w:styleId="NormalGirinti">
    <w:name w:val="Normal Indent"/>
    <w:basedOn w:val="Normal"/>
    <w:rsid w:val="00F11C50"/>
    <w:pPr>
      <w:ind w:left="720"/>
    </w:pPr>
    <w:rPr>
      <w:rFonts w:eastAsia="Batang"/>
      <w:sz w:val="24"/>
      <w:lang w:val="en-US"/>
    </w:rPr>
  </w:style>
  <w:style w:type="paragraph" w:styleId="ListeParagraf">
    <w:name w:val="List Paragraph"/>
    <w:basedOn w:val="Normal"/>
    <w:uiPriority w:val="34"/>
    <w:qFormat/>
    <w:rsid w:val="00F11C50"/>
    <w:pPr>
      <w:ind w:left="720"/>
      <w:contextualSpacing/>
    </w:pPr>
    <w:rPr>
      <w:rFonts w:eastAsia="MS Mincho"/>
      <w:sz w:val="24"/>
      <w:lang w:val="en-US" w:eastAsia="en-GB"/>
    </w:rPr>
  </w:style>
  <w:style w:type="character" w:customStyle="1" w:styleId="Balk1Char">
    <w:name w:val="Başlık 1 Char"/>
    <w:link w:val="Balk1"/>
    <w:uiPriority w:val="9"/>
    <w:rsid w:val="00F11C50"/>
    <w:rPr>
      <w:rFonts w:ascii="Arial" w:hAnsi="Arial"/>
      <w:b/>
      <w:sz w:val="32"/>
      <w:u w:val="single"/>
      <w:lang w:eastAsia="en-US"/>
    </w:rPr>
  </w:style>
  <w:style w:type="paragraph" w:customStyle="1" w:styleId="IEEEStdsParagraph">
    <w:name w:val="IEEEStds Paragraph"/>
    <w:link w:val="IEEEStdsParagraphChar"/>
    <w:rsid w:val="00F11C50"/>
    <w:pPr>
      <w:spacing w:after="240"/>
      <w:jc w:val="both"/>
    </w:pPr>
    <w:rPr>
      <w:rFonts w:eastAsia="Yu Mincho"/>
      <w:lang w:val="en-US" w:eastAsia="ja-JP"/>
    </w:rPr>
  </w:style>
  <w:style w:type="character" w:customStyle="1" w:styleId="IEEEStdsParagraphChar">
    <w:name w:val="IEEEStds Paragraph Char"/>
    <w:link w:val="IEEEStdsParagraph"/>
    <w:rsid w:val="00F11C50"/>
    <w:rPr>
      <w:rFonts w:eastAsia="Yu Mincho"/>
      <w:lang w:val="en-US" w:eastAsia="ja-JP"/>
    </w:rPr>
  </w:style>
  <w:style w:type="paragraph" w:styleId="BalonMetni">
    <w:name w:val="Balloon Text"/>
    <w:basedOn w:val="Normal"/>
    <w:link w:val="BalonMetniChar"/>
    <w:rsid w:val="00B1078E"/>
    <w:rPr>
      <w:rFonts w:ascii="Segoe UI" w:hAnsi="Segoe UI" w:cs="Segoe UI"/>
      <w:sz w:val="18"/>
      <w:szCs w:val="18"/>
    </w:rPr>
  </w:style>
  <w:style w:type="character" w:customStyle="1" w:styleId="BalonMetniChar">
    <w:name w:val="Balon Metni Char"/>
    <w:basedOn w:val="VarsaylanParagrafYazTipi"/>
    <w:link w:val="BalonMetni"/>
    <w:rsid w:val="00B1078E"/>
    <w:rPr>
      <w:rFonts w:ascii="Segoe UI" w:hAnsi="Segoe UI" w:cs="Segoe UI"/>
      <w:sz w:val="18"/>
      <w:szCs w:val="18"/>
      <w:lang w:eastAsia="en-US"/>
    </w:rPr>
  </w:style>
  <w:style w:type="paragraph" w:styleId="Dzeltme">
    <w:name w:val="Revision"/>
    <w:hidden/>
    <w:uiPriority w:val="99"/>
    <w:semiHidden/>
    <w:rsid w:val="00406507"/>
    <w:rPr>
      <w:sz w:val="22"/>
      <w:lang w:eastAsia="en-US"/>
    </w:rPr>
  </w:style>
  <w:style w:type="character" w:styleId="zmlenmeyenBahsetme">
    <w:name w:val="Unresolved Mention"/>
    <w:basedOn w:val="VarsaylanParagrafYazTipi"/>
    <w:uiPriority w:val="99"/>
    <w:semiHidden/>
    <w:unhideWhenUsed/>
    <w:rsid w:val="008C6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aykas@iee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fwireless-world.com/Terminology/IrDA-vs-WLAN-vs-Bluetoo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10</TotalTime>
  <Pages>4</Pages>
  <Words>879</Words>
  <Characters>5011</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doc.: IEEE 802.11-21/1876r3</vt:lpstr>
      <vt:lpstr>doc.: IEEE 802.11-21/1876r3</vt:lpstr>
      <vt:lpstr>doc.: IEEE 802.11-21/1876r1</vt:lpstr>
    </vt:vector>
  </TitlesOfParts>
  <Company>Hyperion Technologies</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802.11-21/1876r3</dc:title>
  <dc:subject>Submission</dc:subject>
  <dc:creator>Dorothy Stanley</dc:creator>
  <cp:keywords>November 2021</cp:keywords>
  <dc:description>Tuncer Baykas, Hyperion Technologies</dc:description>
  <cp:lastModifiedBy>Tunçer Baykaş</cp:lastModifiedBy>
  <cp:revision>12</cp:revision>
  <cp:lastPrinted>2021-11-15T23:49:00Z</cp:lastPrinted>
  <dcterms:created xsi:type="dcterms:W3CDTF">2022-03-09T14:39:00Z</dcterms:created>
  <dcterms:modified xsi:type="dcterms:W3CDTF">2022-03-09T16:08:00Z</dcterms:modified>
</cp:coreProperties>
</file>