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BE13B5" w:rsidRDefault="00CA09B2" w:rsidP="001E0AC0">
      <w:pPr>
        <w:pStyle w:val="T1"/>
        <w:pBdr>
          <w:bottom w:val="single" w:sz="6" w:space="31" w:color="auto"/>
        </w:pBdr>
        <w:spacing w:after="240"/>
        <w:rPr>
          <w:szCs w:val="28"/>
        </w:rPr>
      </w:pPr>
      <w:r w:rsidRPr="00BE13B5">
        <w:rPr>
          <w:szCs w:val="28"/>
        </w:rPr>
        <w:t>IEEE P802.11</w:t>
      </w:r>
      <w:r w:rsidRPr="00BE13B5">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57"/>
        <w:gridCol w:w="2340"/>
        <w:gridCol w:w="1800"/>
        <w:gridCol w:w="1661"/>
      </w:tblGrid>
      <w:tr w:rsidR="00CA09B2" w:rsidRPr="00EC3A70" w14:paraId="0571FED7" w14:textId="77777777" w:rsidTr="00C957FC">
        <w:trPr>
          <w:trHeight w:val="485"/>
          <w:jc w:val="center"/>
        </w:trPr>
        <w:tc>
          <w:tcPr>
            <w:tcW w:w="9576" w:type="dxa"/>
            <w:gridSpan w:val="5"/>
            <w:vAlign w:val="center"/>
          </w:tcPr>
          <w:p w14:paraId="76932150" w14:textId="60107073" w:rsidR="00CA09B2" w:rsidRPr="00BE13B5" w:rsidRDefault="00BE13B5" w:rsidP="00BE13B5">
            <w:pPr>
              <w:pStyle w:val="T2"/>
              <w:rPr>
                <w:szCs w:val="28"/>
              </w:rPr>
            </w:pPr>
            <w:proofErr w:type="spellStart"/>
            <w:r w:rsidRPr="00BE13B5">
              <w:rPr>
                <w:szCs w:val="28"/>
              </w:rPr>
              <w:t>REVme</w:t>
            </w:r>
            <w:proofErr w:type="spellEnd"/>
            <w:r w:rsidRPr="00BE13B5">
              <w:rPr>
                <w:szCs w:val="28"/>
              </w:rPr>
              <w:t xml:space="preserve"> CIDs 175, 23</w:t>
            </w:r>
          </w:p>
        </w:tc>
      </w:tr>
      <w:tr w:rsidR="00CA09B2" w:rsidRPr="00EC3A70" w14:paraId="15997B99" w14:textId="77777777" w:rsidTr="00C957FC">
        <w:trPr>
          <w:trHeight w:val="359"/>
          <w:jc w:val="center"/>
        </w:trPr>
        <w:tc>
          <w:tcPr>
            <w:tcW w:w="9576" w:type="dxa"/>
            <w:gridSpan w:val="5"/>
            <w:vAlign w:val="center"/>
          </w:tcPr>
          <w:p w14:paraId="014A2C7E" w14:textId="17D379E8" w:rsidR="00CA09B2" w:rsidRPr="00EC3A70" w:rsidRDefault="00CA09B2" w:rsidP="00BE13B5">
            <w:pPr>
              <w:pStyle w:val="T2"/>
              <w:ind w:left="0"/>
              <w:rPr>
                <w:sz w:val="20"/>
                <w:szCs w:val="20"/>
              </w:rPr>
            </w:pPr>
            <w:r w:rsidRPr="00EC3A70">
              <w:rPr>
                <w:sz w:val="20"/>
                <w:szCs w:val="20"/>
              </w:rPr>
              <w:t>Date:</w:t>
            </w:r>
            <w:r w:rsidR="00193D21" w:rsidRPr="00EC3A70">
              <w:rPr>
                <w:b w:val="0"/>
                <w:sz w:val="20"/>
                <w:szCs w:val="20"/>
              </w:rPr>
              <w:t xml:space="preserve"> </w:t>
            </w:r>
            <w:r w:rsidR="00BE13B5">
              <w:rPr>
                <w:b w:val="0"/>
                <w:sz w:val="20"/>
                <w:szCs w:val="20"/>
              </w:rPr>
              <w:t>2021-11-17</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BE13B5">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957"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340"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800"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1661" w:type="dxa"/>
            <w:vAlign w:val="center"/>
          </w:tcPr>
          <w:p w14:paraId="0CAA5356" w14:textId="47893F36" w:rsidR="00CA09B2" w:rsidRPr="00EC3A70" w:rsidRDefault="00BE13B5">
            <w:pPr>
              <w:pStyle w:val="T2"/>
              <w:spacing w:after="0"/>
              <w:ind w:left="0" w:right="0"/>
              <w:jc w:val="left"/>
              <w:rPr>
                <w:sz w:val="20"/>
                <w:szCs w:val="20"/>
              </w:rPr>
            </w:pPr>
            <w:r w:rsidRPr="00EC3A70">
              <w:rPr>
                <w:sz w:val="20"/>
                <w:szCs w:val="20"/>
              </w:rPr>
              <w:t>E</w:t>
            </w:r>
            <w:r w:rsidR="00CA09B2" w:rsidRPr="00EC3A70">
              <w:rPr>
                <w:sz w:val="20"/>
                <w:szCs w:val="20"/>
              </w:rPr>
              <w:t>mail</w:t>
            </w:r>
          </w:p>
        </w:tc>
      </w:tr>
      <w:tr w:rsidR="00813B60" w:rsidRPr="00EC3A70" w14:paraId="18C8F59E" w14:textId="77777777" w:rsidTr="00BE13B5">
        <w:trPr>
          <w:jc w:val="center"/>
        </w:trPr>
        <w:tc>
          <w:tcPr>
            <w:tcW w:w="1818" w:type="dxa"/>
            <w:vAlign w:val="center"/>
          </w:tcPr>
          <w:p w14:paraId="59F09116" w14:textId="6E20E2CD" w:rsidR="00813B60" w:rsidRPr="00EC3A70" w:rsidRDefault="00BE13B5">
            <w:pPr>
              <w:pStyle w:val="T2"/>
              <w:spacing w:after="0"/>
              <w:ind w:left="0" w:right="0"/>
              <w:rPr>
                <w:b w:val="0"/>
                <w:sz w:val="20"/>
                <w:szCs w:val="20"/>
              </w:rPr>
            </w:pPr>
            <w:r>
              <w:rPr>
                <w:b w:val="0"/>
                <w:sz w:val="20"/>
                <w:szCs w:val="20"/>
              </w:rPr>
              <w:t>Mark Hamilton</w:t>
            </w:r>
          </w:p>
        </w:tc>
        <w:tc>
          <w:tcPr>
            <w:tcW w:w="1957" w:type="dxa"/>
            <w:vAlign w:val="center"/>
          </w:tcPr>
          <w:p w14:paraId="7CFADDC4" w14:textId="46DC4BDD" w:rsidR="00813B60" w:rsidRPr="00EC3A70" w:rsidRDefault="00BE13B5">
            <w:pPr>
              <w:pStyle w:val="T2"/>
              <w:spacing w:after="0"/>
              <w:ind w:left="0" w:right="0"/>
              <w:rPr>
                <w:b w:val="0"/>
                <w:sz w:val="20"/>
                <w:szCs w:val="20"/>
              </w:rPr>
            </w:pPr>
            <w:r>
              <w:rPr>
                <w:b w:val="0"/>
                <w:sz w:val="20"/>
                <w:szCs w:val="20"/>
              </w:rPr>
              <w:t>Ruckus/CommScope</w:t>
            </w:r>
          </w:p>
        </w:tc>
        <w:tc>
          <w:tcPr>
            <w:tcW w:w="2340" w:type="dxa"/>
            <w:vAlign w:val="center"/>
          </w:tcPr>
          <w:p w14:paraId="0BC592E0" w14:textId="77777777" w:rsidR="00813B60" w:rsidRDefault="00BE13B5">
            <w:pPr>
              <w:pStyle w:val="T2"/>
              <w:spacing w:after="0"/>
              <w:ind w:left="0" w:right="0"/>
              <w:rPr>
                <w:b w:val="0"/>
                <w:sz w:val="20"/>
                <w:szCs w:val="20"/>
              </w:rPr>
            </w:pPr>
            <w:r>
              <w:rPr>
                <w:b w:val="0"/>
                <w:sz w:val="20"/>
                <w:szCs w:val="20"/>
              </w:rPr>
              <w:t>350 W Java Dr</w:t>
            </w:r>
          </w:p>
          <w:p w14:paraId="3F1AB42B" w14:textId="326A362F" w:rsidR="00BE13B5" w:rsidRPr="00EC3A70" w:rsidRDefault="00BE13B5">
            <w:pPr>
              <w:pStyle w:val="T2"/>
              <w:spacing w:after="0"/>
              <w:ind w:left="0" w:right="0"/>
              <w:rPr>
                <w:b w:val="0"/>
                <w:sz w:val="20"/>
                <w:szCs w:val="20"/>
              </w:rPr>
            </w:pPr>
            <w:r>
              <w:rPr>
                <w:b w:val="0"/>
                <w:sz w:val="20"/>
                <w:szCs w:val="20"/>
              </w:rPr>
              <w:t>Sunnyvale, CA, 94089</w:t>
            </w:r>
          </w:p>
        </w:tc>
        <w:tc>
          <w:tcPr>
            <w:tcW w:w="1800" w:type="dxa"/>
            <w:vAlign w:val="center"/>
          </w:tcPr>
          <w:p w14:paraId="7E7EBB25" w14:textId="0712270C" w:rsidR="00813B60" w:rsidRPr="00EC3A70" w:rsidRDefault="00D32A1F">
            <w:pPr>
              <w:pStyle w:val="T2"/>
              <w:spacing w:after="0"/>
              <w:ind w:left="0" w:right="0"/>
              <w:rPr>
                <w:b w:val="0"/>
                <w:sz w:val="20"/>
                <w:szCs w:val="20"/>
              </w:rPr>
            </w:pPr>
            <w:r w:rsidRPr="00EC3A70">
              <w:rPr>
                <w:b w:val="0"/>
                <w:sz w:val="20"/>
                <w:szCs w:val="20"/>
              </w:rPr>
              <w:t xml:space="preserve">+1 </w:t>
            </w:r>
            <w:r w:rsidR="00BE13B5">
              <w:rPr>
                <w:b w:val="0"/>
                <w:sz w:val="20"/>
                <w:szCs w:val="20"/>
              </w:rPr>
              <w:t>303 818 8472</w:t>
            </w:r>
          </w:p>
        </w:tc>
        <w:tc>
          <w:tcPr>
            <w:tcW w:w="1661" w:type="dxa"/>
            <w:vAlign w:val="center"/>
          </w:tcPr>
          <w:p w14:paraId="5EDE7F5D" w14:textId="2C6EAFEB" w:rsidR="00813B60" w:rsidRPr="00EC3A70" w:rsidRDefault="00BE13B5">
            <w:pPr>
              <w:pStyle w:val="T2"/>
              <w:spacing w:after="0"/>
              <w:ind w:left="0" w:right="0"/>
              <w:rPr>
                <w:b w:val="0"/>
                <w:sz w:val="20"/>
                <w:szCs w:val="20"/>
              </w:rPr>
            </w:pPr>
            <w:hyperlink r:id="rId8" w:history="1">
              <w:r w:rsidRPr="005E6227">
                <w:rPr>
                  <w:rStyle w:val="Hyperlink"/>
                  <w:b w:val="0"/>
                  <w:sz w:val="20"/>
                  <w:szCs w:val="20"/>
                </w:rPr>
                <w:t>Mark.hamilton@commscope.com</w:t>
              </w:r>
            </w:hyperlink>
            <w:r>
              <w:rPr>
                <w:b w:val="0"/>
                <w:sz w:val="20"/>
                <w:szCs w:val="20"/>
              </w:rPr>
              <w:t xml:space="preserve"> </w:t>
            </w:r>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5F83005B" w:rsidR="00F86050" w:rsidRPr="00522CB9" w:rsidRDefault="007D7F7D" w:rsidP="00A72F6F">
      <w:pPr>
        <w:shd w:val="clear" w:color="auto" w:fill="FFFFFF"/>
      </w:pPr>
      <w:r w:rsidRPr="00522CB9">
        <w:t xml:space="preserve">This document </w:t>
      </w:r>
      <w:r w:rsidR="00F86050" w:rsidRPr="00522CB9">
        <w:t>contains discussion</w:t>
      </w:r>
      <w:r w:rsidRPr="00522CB9">
        <w:t xml:space="preserve"> and proposed resolutions for the following </w:t>
      </w:r>
      <w:r w:rsidR="00F86050" w:rsidRPr="00522CB9">
        <w:t xml:space="preserve">comments from </w:t>
      </w:r>
      <w:proofErr w:type="spellStart"/>
      <w:r w:rsidR="00F86050" w:rsidRPr="00522CB9">
        <w:t>TGme</w:t>
      </w:r>
      <w:proofErr w:type="spellEnd"/>
      <w:r w:rsidR="00F86050" w:rsidRPr="00522CB9">
        <w:t xml:space="preserve"> </w:t>
      </w:r>
      <w:r w:rsidR="00DA416B" w:rsidRPr="00522CB9">
        <w:t>CC</w:t>
      </w:r>
      <w:r w:rsidR="00F86050" w:rsidRPr="00522CB9">
        <w:t>35</w:t>
      </w:r>
      <w:r w:rsidRPr="00522CB9">
        <w:t xml:space="preserve"> </w:t>
      </w:r>
      <w:r w:rsidR="00F86050" w:rsidRPr="00522CB9">
        <w:t>on IEEE P802.11-REVme/D0.0</w:t>
      </w:r>
      <w:r w:rsidRPr="00522CB9">
        <w:t>:</w:t>
      </w:r>
    </w:p>
    <w:p w14:paraId="69BEF270" w14:textId="77777777" w:rsidR="00F86050" w:rsidRPr="00522CB9" w:rsidRDefault="00F86050" w:rsidP="00A72F6F">
      <w:pPr>
        <w:shd w:val="clear" w:color="auto" w:fill="FFFFFF"/>
      </w:pPr>
    </w:p>
    <w:p w14:paraId="35C45DED" w14:textId="0AD0B899" w:rsidR="00F86050" w:rsidRPr="00522CB9" w:rsidRDefault="00BE13B5" w:rsidP="00F86050">
      <w:pPr>
        <w:shd w:val="clear" w:color="auto" w:fill="FFFFFF"/>
      </w:pPr>
      <w:r w:rsidRPr="00522CB9">
        <w:t>175, 23</w:t>
      </w:r>
    </w:p>
    <w:p w14:paraId="2B1E5238" w14:textId="36484926" w:rsidR="001C2748" w:rsidRPr="00522CB9" w:rsidRDefault="001C2748" w:rsidP="00F86050">
      <w:pPr>
        <w:shd w:val="clear" w:color="auto" w:fill="FFFFFF"/>
      </w:pPr>
    </w:p>
    <w:p w14:paraId="0E2B13A5" w14:textId="084441FF" w:rsidR="00522CB9" w:rsidRPr="00522CB9" w:rsidRDefault="00522CB9" w:rsidP="00F86050">
      <w:pPr>
        <w:shd w:val="clear" w:color="auto" w:fill="FFFFFF"/>
      </w:pPr>
      <w:r w:rsidRPr="00522CB9">
        <w:t>As references are to D0.0 numbering.</w:t>
      </w:r>
    </w:p>
    <w:p w14:paraId="3DA49BDE" w14:textId="77777777" w:rsidR="00522CB9" w:rsidRPr="00522CB9" w:rsidRDefault="00522CB9" w:rsidP="00F86050">
      <w:pPr>
        <w:shd w:val="clear" w:color="auto" w:fill="FFFFFF"/>
      </w:pPr>
    </w:p>
    <w:p w14:paraId="378E24A6" w14:textId="36510CD0" w:rsidR="00F86050" w:rsidRPr="00522CB9" w:rsidRDefault="00F86050">
      <w:r w:rsidRPr="00522CB9">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3BFC323" w:rsidR="003C51E9" w:rsidRPr="00522CB9" w:rsidRDefault="003C51E9" w:rsidP="00A37A33">
      <w:pPr>
        <w:shd w:val="clear" w:color="auto" w:fill="FFFFFF"/>
        <w:rPr>
          <w:color w:val="222222"/>
        </w:rPr>
      </w:pPr>
      <w:r w:rsidRPr="00522CB9">
        <w:rPr>
          <w:color w:val="222222"/>
        </w:rPr>
        <w:t>R0 – initial version</w:t>
      </w:r>
    </w:p>
    <w:p w14:paraId="0DF21771" w14:textId="77777777" w:rsidR="0080746B" w:rsidRDefault="0080746B" w:rsidP="00A37A33">
      <w:pPr>
        <w:shd w:val="clear" w:color="auto" w:fill="FFFFFF"/>
        <w:rPr>
          <w:color w:val="222222"/>
          <w:sz w:val="20"/>
          <w:szCs w:val="20"/>
        </w:rPr>
      </w:pPr>
    </w:p>
    <w:p w14:paraId="4C59ED14" w14:textId="77777777" w:rsidR="003C51E9" w:rsidRPr="00C430FF" w:rsidRDefault="003C51E9" w:rsidP="00A37A33">
      <w:pPr>
        <w:shd w:val="clear" w:color="auto" w:fill="FFFFFF"/>
        <w:rPr>
          <w:i/>
          <w:iCs/>
          <w:color w:val="222222"/>
          <w:sz w:val="20"/>
          <w:szCs w:val="20"/>
        </w:rPr>
      </w:pPr>
    </w:p>
    <w:p w14:paraId="7674DC47" w14:textId="6204EC41" w:rsidR="00A37A33" w:rsidRDefault="00BE13B5" w:rsidP="00A37A33">
      <w:pPr>
        <w:shd w:val="clear" w:color="auto" w:fill="FFFFFF"/>
        <w:rPr>
          <w:b/>
          <w:bCs/>
          <w:color w:val="222222"/>
        </w:rPr>
      </w:pPr>
      <w:r>
        <w:rPr>
          <w:b/>
          <w:bCs/>
          <w:color w:val="222222"/>
        </w:rPr>
        <w:t>CID 175</w:t>
      </w:r>
    </w:p>
    <w:p w14:paraId="3DDDEFFC" w14:textId="064C5B1C" w:rsidR="007D7F7D" w:rsidRDefault="007D7F7D" w:rsidP="00A37A33">
      <w:pPr>
        <w:pStyle w:val="Default"/>
        <w:rPr>
          <w:color w:val="auto"/>
          <w:sz w:val="20"/>
          <w:szCs w:val="20"/>
        </w:rPr>
      </w:pPr>
    </w:p>
    <w:tbl>
      <w:tblPr>
        <w:tblStyle w:val="TableGrid"/>
        <w:tblW w:w="9085" w:type="dxa"/>
        <w:jc w:val="center"/>
        <w:tblLayout w:type="fixed"/>
        <w:tblLook w:val="04A0" w:firstRow="1" w:lastRow="0" w:firstColumn="1" w:lastColumn="0" w:noHBand="0" w:noVBand="1"/>
      </w:tblPr>
      <w:tblGrid>
        <w:gridCol w:w="805"/>
        <w:gridCol w:w="1715"/>
        <w:gridCol w:w="2790"/>
        <w:gridCol w:w="3775"/>
      </w:tblGrid>
      <w:tr w:rsidR="00BE13B5" w:rsidRPr="00B173D7" w14:paraId="6B4D0C1A" w14:textId="77777777" w:rsidTr="00B173D7">
        <w:trPr>
          <w:trHeight w:val="373"/>
          <w:jc w:val="center"/>
        </w:trPr>
        <w:tc>
          <w:tcPr>
            <w:tcW w:w="805" w:type="dxa"/>
          </w:tcPr>
          <w:p w14:paraId="299168A8" w14:textId="77777777" w:rsidR="00BE13B5" w:rsidRPr="00B173D7" w:rsidRDefault="00BE13B5" w:rsidP="00A15EE1">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715" w:type="dxa"/>
          </w:tcPr>
          <w:p w14:paraId="3164F7BA" w14:textId="21B9D41E" w:rsidR="00BE13B5" w:rsidRPr="00B173D7" w:rsidRDefault="00BE13B5" w:rsidP="00A15EE1">
            <w:pPr>
              <w:autoSpaceDE w:val="0"/>
              <w:autoSpaceDN w:val="0"/>
              <w:adjustRightInd w:val="0"/>
              <w:jc w:val="center"/>
              <w:rPr>
                <w:b/>
                <w:bCs/>
                <w:color w:val="000000" w:themeColor="text1"/>
                <w:lang w:eastAsia="ko-KR"/>
              </w:rPr>
            </w:pPr>
            <w:r w:rsidRPr="00B173D7">
              <w:rPr>
                <w:b/>
                <w:bCs/>
                <w:color w:val="000000" w:themeColor="text1"/>
                <w:lang w:eastAsia="ko-KR"/>
              </w:rPr>
              <w:t>Clause/Page</w:t>
            </w:r>
          </w:p>
        </w:tc>
        <w:tc>
          <w:tcPr>
            <w:tcW w:w="2790" w:type="dxa"/>
          </w:tcPr>
          <w:p w14:paraId="09807B3B" w14:textId="77777777" w:rsidR="00BE13B5" w:rsidRPr="00B173D7" w:rsidRDefault="00BE13B5" w:rsidP="00A15EE1">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775" w:type="dxa"/>
          </w:tcPr>
          <w:p w14:paraId="2104460D" w14:textId="77777777" w:rsidR="00BE13B5" w:rsidRPr="00B173D7" w:rsidRDefault="00BE13B5" w:rsidP="00A15EE1">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BE13B5" w:rsidRPr="00FF04B3" w14:paraId="74AD9791" w14:textId="77777777" w:rsidTr="00B173D7">
        <w:trPr>
          <w:trHeight w:val="1002"/>
          <w:jc w:val="center"/>
        </w:trPr>
        <w:tc>
          <w:tcPr>
            <w:tcW w:w="805" w:type="dxa"/>
          </w:tcPr>
          <w:p w14:paraId="449BAED2" w14:textId="5EC3EFDF" w:rsidR="00BE13B5" w:rsidRPr="00FF04B3" w:rsidRDefault="00BE13B5" w:rsidP="00A15EE1">
            <w:pPr>
              <w:rPr>
                <w:bCs/>
                <w:color w:val="000000" w:themeColor="text1"/>
              </w:rPr>
            </w:pPr>
            <w:r w:rsidRPr="00FF04B3">
              <w:rPr>
                <w:bCs/>
                <w:color w:val="000000" w:themeColor="text1"/>
              </w:rPr>
              <w:t>175</w:t>
            </w:r>
          </w:p>
        </w:tc>
        <w:tc>
          <w:tcPr>
            <w:tcW w:w="1715" w:type="dxa"/>
          </w:tcPr>
          <w:p w14:paraId="238E7BEB" w14:textId="4B230D16" w:rsidR="00BE13B5" w:rsidRPr="00FF04B3" w:rsidRDefault="00BE13B5" w:rsidP="00A15EE1">
            <w:pPr>
              <w:rPr>
                <w:bCs/>
                <w:color w:val="000000" w:themeColor="text1"/>
              </w:rPr>
            </w:pPr>
            <w:r w:rsidRPr="00FF04B3">
              <w:rPr>
                <w:bCs/>
                <w:color w:val="000000" w:themeColor="text1"/>
              </w:rPr>
              <w:t>12.4.3</w:t>
            </w:r>
          </w:p>
        </w:tc>
        <w:tc>
          <w:tcPr>
            <w:tcW w:w="2790" w:type="dxa"/>
          </w:tcPr>
          <w:p w14:paraId="2C34A0BE" w14:textId="7C86E250" w:rsidR="00BE13B5" w:rsidRPr="00FF04B3" w:rsidRDefault="00BE13B5" w:rsidP="00BE13B5">
            <w:pPr>
              <w:rPr>
                <w:bCs/>
                <w:color w:val="000000" w:themeColor="text1"/>
              </w:rPr>
            </w:pPr>
            <w:r w:rsidRPr="00FF04B3">
              <w:rPr>
                <w:bCs/>
                <w:color w:val="000000" w:themeColor="text1"/>
              </w:rPr>
              <w:t>There are two references to "a non-NULL</w:t>
            </w:r>
            <w:r w:rsidRPr="00FF04B3">
              <w:rPr>
                <w:bCs/>
                <w:color w:val="000000" w:themeColor="text1"/>
              </w:rPr>
              <w:t xml:space="preserve"> d</w:t>
            </w:r>
            <w:r w:rsidRPr="00FF04B3">
              <w:rPr>
                <w:bCs/>
                <w:color w:val="000000" w:themeColor="text1"/>
              </w:rPr>
              <w:t>ot11RSNAConfigPasswordIdentifier" but this term is not defined here or in the MIB</w:t>
            </w:r>
          </w:p>
        </w:tc>
        <w:tc>
          <w:tcPr>
            <w:tcW w:w="3775" w:type="dxa"/>
          </w:tcPr>
          <w:p w14:paraId="7A075F9A" w14:textId="5DA51EE8" w:rsidR="00BE13B5" w:rsidRPr="00FF04B3" w:rsidRDefault="00BE13B5" w:rsidP="00BE13B5">
            <w:pPr>
              <w:rPr>
                <w:bCs/>
              </w:rPr>
            </w:pPr>
            <w:r w:rsidRPr="00FF04B3">
              <w:rPr>
                <w:bCs/>
              </w:rPr>
              <w:t>C</w:t>
            </w:r>
            <w:r w:rsidRPr="00FF04B3">
              <w:rPr>
                <w:bCs/>
              </w:rPr>
              <w:t>hange each instance to "a dot11RSNAConfigPasswordIdentifier that does not have a zero length" and in C.3 show a DEFVAL of "{ }" for dot11RSNAConfigPasswordIdentifier</w:t>
            </w:r>
          </w:p>
        </w:tc>
      </w:tr>
    </w:tbl>
    <w:p w14:paraId="67D77584" w14:textId="229F9043" w:rsidR="00BE13B5" w:rsidRDefault="00BE13B5"/>
    <w:p w14:paraId="5E6E15FB" w14:textId="617D2F3F" w:rsidR="00BE13B5" w:rsidRPr="00522CB9" w:rsidRDefault="00BE13B5">
      <w:pPr>
        <w:rPr>
          <w:b/>
          <w:bCs/>
          <w:u w:val="single"/>
        </w:rPr>
      </w:pPr>
      <w:r w:rsidRPr="00522CB9">
        <w:rPr>
          <w:b/>
          <w:bCs/>
          <w:u w:val="single"/>
        </w:rPr>
        <w:t>Discussion:</w:t>
      </w:r>
    </w:p>
    <w:p w14:paraId="1A8A752E" w14:textId="5DB164EF" w:rsidR="00BE13B5" w:rsidRDefault="00BE13B5"/>
    <w:p w14:paraId="7979FE5C" w14:textId="4B448422" w:rsidR="00712751" w:rsidRDefault="00712751">
      <w:r>
        <w:t>P2532.64:</w:t>
      </w:r>
    </w:p>
    <w:p w14:paraId="7109FF9B" w14:textId="6AFCC6A9" w:rsidR="00B173D7" w:rsidRDefault="00B173D7" w:rsidP="00B173D7">
      <w:pPr>
        <w:pBdr>
          <w:top w:val="single" w:sz="4" w:space="1" w:color="auto"/>
          <w:left w:val="single" w:sz="4" w:space="4" w:color="auto"/>
          <w:bottom w:val="single" w:sz="4" w:space="1" w:color="auto"/>
          <w:right w:val="single" w:sz="4" w:space="4" w:color="auto"/>
        </w:pBdr>
      </w:pPr>
      <w:r>
        <w:rPr>
          <w:noProof/>
        </w:rPr>
        <w:drawing>
          <wp:inline distT="0" distB="0" distL="0" distR="0" wp14:anchorId="71158994" wp14:editId="751CBFF3">
            <wp:extent cx="5903595" cy="67627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3595" cy="676275"/>
                    </a:xfrm>
                    <a:prstGeom prst="rect">
                      <a:avLst/>
                    </a:prstGeom>
                    <a:noFill/>
                    <a:ln>
                      <a:noFill/>
                    </a:ln>
                  </pic:spPr>
                </pic:pic>
              </a:graphicData>
            </a:graphic>
          </wp:inline>
        </w:drawing>
      </w:r>
    </w:p>
    <w:p w14:paraId="38C895F2" w14:textId="1E8DF39B" w:rsidR="00B173D7" w:rsidRDefault="00B173D7"/>
    <w:p w14:paraId="46C74053" w14:textId="64FB80C6" w:rsidR="00712751" w:rsidRDefault="00712751">
      <w:r>
        <w:t>P</w:t>
      </w:r>
    </w:p>
    <w:p w14:paraId="0FE11857" w14:textId="56F5CE9C" w:rsidR="00BE13B5" w:rsidRPr="00BE13B5" w:rsidRDefault="00BE13B5" w:rsidP="00B173D7">
      <w:pPr>
        <w:pBdr>
          <w:top w:val="single" w:sz="4" w:space="1" w:color="auto"/>
          <w:left w:val="single" w:sz="4" w:space="4" w:color="auto"/>
          <w:bottom w:val="single" w:sz="4" w:space="1" w:color="auto"/>
          <w:right w:val="single" w:sz="4" w:space="4" w:color="auto"/>
        </w:pBdr>
      </w:pPr>
      <w:r>
        <w:rPr>
          <w:noProof/>
        </w:rPr>
        <w:drawing>
          <wp:inline distT="0" distB="0" distL="0" distR="0" wp14:anchorId="12718973" wp14:editId="38FCD7F6">
            <wp:extent cx="589597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1828800"/>
                    </a:xfrm>
                    <a:prstGeom prst="rect">
                      <a:avLst/>
                    </a:prstGeom>
                    <a:noFill/>
                    <a:ln>
                      <a:noFill/>
                    </a:ln>
                  </pic:spPr>
                </pic:pic>
              </a:graphicData>
            </a:graphic>
          </wp:inline>
        </w:drawing>
      </w:r>
    </w:p>
    <w:p w14:paraId="3787EDB1" w14:textId="7E5E251F" w:rsidR="00BE13B5" w:rsidRDefault="00BE13B5"/>
    <w:p w14:paraId="7CC30D78" w14:textId="6AF59DCB" w:rsidR="00B173D7" w:rsidRDefault="00B173D7">
      <w:r>
        <w:t>Agree with the commenter that this is not a defined term.  Specifying the OCTET STRING is not of zero length seems unambiguous and matches the datatype usage.</w:t>
      </w:r>
    </w:p>
    <w:p w14:paraId="6BB35BEC" w14:textId="5ADA4B38" w:rsidR="00B173D7" w:rsidRDefault="00B173D7"/>
    <w:p w14:paraId="03847F23" w14:textId="13E14463" w:rsidR="00B173D7" w:rsidRPr="00E74B6A" w:rsidRDefault="00B173D7" w:rsidP="00B173D7">
      <w:pPr>
        <w:pStyle w:val="HTMLPreformatted"/>
        <w:rPr>
          <w:rFonts w:ascii="Times New Roman" w:hAnsi="Times New Roman" w:cs="Times New Roman"/>
          <w:sz w:val="24"/>
          <w:szCs w:val="24"/>
        </w:rPr>
      </w:pPr>
      <w:r w:rsidRPr="00B173D7">
        <w:rPr>
          <w:rFonts w:ascii="Times New Roman" w:hAnsi="Times New Roman" w:cs="Times New Roman"/>
          <w:sz w:val="24"/>
          <w:szCs w:val="24"/>
        </w:rPr>
        <w:t>For the DEFVAL, RFC 2578 provides the hint that a hexadecimal string can be represented with</w:t>
      </w:r>
      <w:r>
        <w:t xml:space="preserve"> </w:t>
      </w:r>
      <w:r w:rsidRPr="00E74B6A">
        <w:rPr>
          <w:rFonts w:ascii="Times New Roman" w:hAnsi="Times New Roman" w:cs="Times New Roman"/>
          <w:sz w:val="24"/>
          <w:szCs w:val="24"/>
        </w:rPr>
        <w:t>“</w:t>
      </w:r>
      <w:r>
        <w:t>an even number (possibly zero) of hexadecimal digits, preceded by</w:t>
      </w:r>
      <w:r>
        <w:t xml:space="preserve"> </w:t>
      </w:r>
      <w:r w:rsidRPr="00B173D7">
        <w:t>a single (') and followed by either</w:t>
      </w:r>
      <w:r>
        <w:t xml:space="preserve"> </w:t>
      </w:r>
      <w:r w:rsidRPr="00B173D7">
        <w:t>the pair ('H) or ('h)</w:t>
      </w:r>
      <w:r>
        <w:t>.</w:t>
      </w:r>
      <w:r w:rsidRPr="00E74B6A">
        <w:rPr>
          <w:rFonts w:ascii="Times New Roman" w:hAnsi="Times New Roman" w:cs="Times New Roman"/>
          <w:sz w:val="24"/>
          <w:szCs w:val="24"/>
        </w:rPr>
        <w:t>”</w:t>
      </w:r>
      <w:r w:rsidR="00E74B6A" w:rsidRPr="00E74B6A">
        <w:rPr>
          <w:rFonts w:ascii="Times New Roman" w:hAnsi="Times New Roman" w:cs="Times New Roman"/>
          <w:sz w:val="24"/>
          <w:szCs w:val="24"/>
        </w:rPr>
        <w:t xml:space="preserve">  It also provides this example:</w:t>
      </w:r>
    </w:p>
    <w:p w14:paraId="2242CED7" w14:textId="401D4B7E" w:rsidR="00E74B6A" w:rsidRDefault="00E74B6A" w:rsidP="00E74B6A">
      <w:pPr>
        <w:pStyle w:val="HTMLPreformatted"/>
      </w:pPr>
      <w:r>
        <w:tab/>
      </w:r>
      <w:r>
        <w:t>OCTET STRING       DEFVAL { '</w:t>
      </w:r>
      <w:proofErr w:type="spellStart"/>
      <w:r>
        <w:t>ffffffffffff'H</w:t>
      </w:r>
      <w:proofErr w:type="spellEnd"/>
      <w:r>
        <w:t xml:space="preserve"> }</w:t>
      </w:r>
    </w:p>
    <w:p w14:paraId="02B65EA2" w14:textId="29590BE0" w:rsidR="00B173D7" w:rsidRDefault="00B173D7" w:rsidP="00E74B6A"/>
    <w:p w14:paraId="58294B7F" w14:textId="199C63CD" w:rsidR="00B173D7" w:rsidRDefault="00E74B6A" w:rsidP="00E74B6A">
      <w:r>
        <w:t>So, it appears the correct style for a ‘NULL’ string (zero length) would be:</w:t>
      </w:r>
    </w:p>
    <w:p w14:paraId="1FAD7BFA" w14:textId="45541426" w:rsidR="00E74B6A" w:rsidRDefault="00E74B6A" w:rsidP="00E74B6A">
      <w:r>
        <w:tab/>
        <w:t>DEFVAL { ‘’H }</w:t>
      </w:r>
    </w:p>
    <w:p w14:paraId="37614860" w14:textId="4595D0C5" w:rsidR="00B173D7" w:rsidRDefault="00B173D7"/>
    <w:p w14:paraId="1F76DCAD" w14:textId="4E49B6D4" w:rsidR="00E74B6A" w:rsidRDefault="00E74B6A">
      <w:r>
        <w:lastRenderedPageBreak/>
        <w:t xml:space="preserve">We </w:t>
      </w:r>
      <w:r w:rsidR="00712751">
        <w:t>also</w:t>
      </w:r>
      <w:r>
        <w:t xml:space="preserve"> notice that similar examples can be found in existing Annex C text</w:t>
      </w:r>
      <w:r w:rsidR="00712751">
        <w:t>, for this format, and none for DEFVAL { }, or DEFVAL “{ }”..</w:t>
      </w:r>
    </w:p>
    <w:p w14:paraId="4C6ECDAE" w14:textId="51D56E37" w:rsidR="00E74B6A" w:rsidRDefault="00E74B6A"/>
    <w:p w14:paraId="69644476" w14:textId="77777777" w:rsidR="00E74B6A" w:rsidRPr="00BE13B5" w:rsidRDefault="00E74B6A"/>
    <w:p w14:paraId="15E7FC0C" w14:textId="23DD5791" w:rsidR="00BE13B5" w:rsidRPr="00522CB9" w:rsidRDefault="00BE13B5">
      <w:pPr>
        <w:rPr>
          <w:b/>
          <w:bCs/>
          <w:u w:val="single"/>
        </w:rPr>
      </w:pPr>
      <w:r w:rsidRPr="00522CB9">
        <w:rPr>
          <w:b/>
          <w:bCs/>
          <w:u w:val="single"/>
        </w:rPr>
        <w:t>Proposed Resolution:</w:t>
      </w:r>
    </w:p>
    <w:p w14:paraId="125AC90F" w14:textId="7CF7CF6F" w:rsidR="00BE13B5" w:rsidRDefault="00BE13B5"/>
    <w:p w14:paraId="49DDCF28" w14:textId="6869E9AF" w:rsidR="00712751" w:rsidRDefault="00712751">
      <w:r>
        <w:t>Revised.</w:t>
      </w:r>
    </w:p>
    <w:p w14:paraId="4236CFCB" w14:textId="4BCE63D4" w:rsidR="00712751" w:rsidRDefault="00712751"/>
    <w:p w14:paraId="47D8A7FD" w14:textId="4F923A96" w:rsidR="00712751" w:rsidRDefault="00712751">
      <w:r>
        <w:t xml:space="preserve">At P2532.64 and P2533.2, replace “has a non-NULL dot11RSNAConfigPasswordIdentifier” with “has a </w:t>
      </w:r>
      <w:r>
        <w:t>dot11RSNAConfigPasswordIdentifier</w:t>
      </w:r>
      <w:r>
        <w:t xml:space="preserve"> that does not have a zero length”.</w:t>
      </w:r>
    </w:p>
    <w:p w14:paraId="1CF65A55" w14:textId="31F43636" w:rsidR="00712751" w:rsidRDefault="00712751"/>
    <w:p w14:paraId="2C279BAE" w14:textId="77777777" w:rsidR="00712751" w:rsidRDefault="00712751">
      <w:r>
        <w:t xml:space="preserve">At P4067.29, insert </w:t>
      </w:r>
    </w:p>
    <w:p w14:paraId="4CDA310A" w14:textId="77777777" w:rsidR="00712751" w:rsidRDefault="00712751" w:rsidP="00712751">
      <w:pPr>
        <w:ind w:firstLine="720"/>
      </w:pPr>
      <w:r>
        <w:t xml:space="preserve">“DEFVAL { ‘’H }” </w:t>
      </w:r>
    </w:p>
    <w:p w14:paraId="100DFED8" w14:textId="77777777" w:rsidR="00712751" w:rsidRDefault="00712751" w:rsidP="00712751">
      <w:r>
        <w:t xml:space="preserve">as a new line, before </w:t>
      </w:r>
    </w:p>
    <w:p w14:paraId="00D08C77" w14:textId="69983AA0" w:rsidR="00712751" w:rsidRDefault="00712751" w:rsidP="00712751">
      <w:pPr>
        <w:ind w:firstLine="720"/>
      </w:pPr>
      <w:r>
        <w:t>“::= {dot11RSNAConfigPasswordValueEntry 3 }”.</w:t>
      </w:r>
    </w:p>
    <w:p w14:paraId="4C28CAA5" w14:textId="77777777" w:rsidR="00712751" w:rsidRDefault="00712751"/>
    <w:p w14:paraId="5262F755" w14:textId="39B74954" w:rsidR="00712751" w:rsidRDefault="00712751">
      <w:r>
        <w:br w:type="page"/>
      </w:r>
    </w:p>
    <w:p w14:paraId="4784E000" w14:textId="0B1C2EEC" w:rsidR="00712751" w:rsidRPr="00522CB9" w:rsidRDefault="00FF04B3">
      <w:pPr>
        <w:rPr>
          <w:b/>
          <w:bCs/>
        </w:rPr>
      </w:pPr>
      <w:r w:rsidRPr="00522CB9">
        <w:rPr>
          <w:b/>
          <w:bCs/>
        </w:rPr>
        <w:lastRenderedPageBreak/>
        <w:t>CID 23</w:t>
      </w:r>
    </w:p>
    <w:p w14:paraId="0CD8608D" w14:textId="77777777" w:rsidR="00BE13B5" w:rsidRPr="00FF04B3" w:rsidRDefault="00BE13B5"/>
    <w:tbl>
      <w:tblPr>
        <w:tblStyle w:val="TableGrid"/>
        <w:tblW w:w="8815" w:type="dxa"/>
        <w:jc w:val="center"/>
        <w:tblLayout w:type="fixed"/>
        <w:tblLook w:val="04A0" w:firstRow="1" w:lastRow="0" w:firstColumn="1" w:lastColumn="0" w:noHBand="0" w:noVBand="1"/>
      </w:tblPr>
      <w:tblGrid>
        <w:gridCol w:w="721"/>
        <w:gridCol w:w="1434"/>
        <w:gridCol w:w="2790"/>
        <w:gridCol w:w="3870"/>
      </w:tblGrid>
      <w:tr w:rsidR="00BE13B5" w:rsidRPr="00FF04B3" w14:paraId="1F169A0F" w14:textId="77777777" w:rsidTr="00BE13B5">
        <w:trPr>
          <w:trHeight w:val="373"/>
          <w:jc w:val="center"/>
        </w:trPr>
        <w:tc>
          <w:tcPr>
            <w:tcW w:w="721" w:type="dxa"/>
          </w:tcPr>
          <w:p w14:paraId="765CD012" w14:textId="77777777" w:rsidR="00BE13B5" w:rsidRPr="00FF04B3" w:rsidRDefault="00BE13B5" w:rsidP="00916C8A">
            <w:pPr>
              <w:autoSpaceDE w:val="0"/>
              <w:autoSpaceDN w:val="0"/>
              <w:adjustRightInd w:val="0"/>
              <w:jc w:val="center"/>
              <w:rPr>
                <w:b/>
                <w:bCs/>
                <w:color w:val="000000" w:themeColor="text1"/>
                <w:lang w:eastAsia="ko-KR"/>
              </w:rPr>
            </w:pPr>
            <w:r w:rsidRPr="00FF04B3">
              <w:rPr>
                <w:b/>
                <w:bCs/>
                <w:color w:val="000000" w:themeColor="text1"/>
                <w:lang w:eastAsia="ko-KR"/>
              </w:rPr>
              <w:t>CID</w:t>
            </w:r>
          </w:p>
        </w:tc>
        <w:tc>
          <w:tcPr>
            <w:tcW w:w="1434" w:type="dxa"/>
          </w:tcPr>
          <w:p w14:paraId="61A72B70" w14:textId="77777777" w:rsidR="00BE13B5" w:rsidRPr="00FF04B3" w:rsidRDefault="00BE13B5" w:rsidP="00916C8A">
            <w:pPr>
              <w:autoSpaceDE w:val="0"/>
              <w:autoSpaceDN w:val="0"/>
              <w:adjustRightInd w:val="0"/>
              <w:jc w:val="center"/>
              <w:rPr>
                <w:b/>
                <w:bCs/>
                <w:color w:val="000000" w:themeColor="text1"/>
                <w:lang w:eastAsia="ko-KR"/>
              </w:rPr>
            </w:pPr>
            <w:r w:rsidRPr="00FF04B3">
              <w:rPr>
                <w:b/>
                <w:bCs/>
                <w:color w:val="000000" w:themeColor="text1"/>
                <w:lang w:eastAsia="ko-KR"/>
              </w:rPr>
              <w:t>Clause/Page</w:t>
            </w:r>
          </w:p>
        </w:tc>
        <w:tc>
          <w:tcPr>
            <w:tcW w:w="2790" w:type="dxa"/>
          </w:tcPr>
          <w:p w14:paraId="653A4CEA" w14:textId="77777777" w:rsidR="00BE13B5" w:rsidRPr="00FF04B3" w:rsidRDefault="00BE13B5" w:rsidP="00916C8A">
            <w:pPr>
              <w:autoSpaceDE w:val="0"/>
              <w:autoSpaceDN w:val="0"/>
              <w:adjustRightInd w:val="0"/>
              <w:jc w:val="center"/>
              <w:rPr>
                <w:b/>
                <w:bCs/>
                <w:color w:val="000000" w:themeColor="text1"/>
                <w:lang w:eastAsia="ko-KR"/>
              </w:rPr>
            </w:pPr>
            <w:r w:rsidRPr="00FF04B3">
              <w:rPr>
                <w:b/>
                <w:bCs/>
                <w:color w:val="000000" w:themeColor="text1"/>
                <w:lang w:eastAsia="ko-KR"/>
              </w:rPr>
              <w:t>Comment</w:t>
            </w:r>
          </w:p>
        </w:tc>
        <w:tc>
          <w:tcPr>
            <w:tcW w:w="3870" w:type="dxa"/>
          </w:tcPr>
          <w:p w14:paraId="08A59610" w14:textId="77777777" w:rsidR="00BE13B5" w:rsidRPr="00FF04B3" w:rsidRDefault="00BE13B5" w:rsidP="00916C8A">
            <w:pPr>
              <w:autoSpaceDE w:val="0"/>
              <w:autoSpaceDN w:val="0"/>
              <w:adjustRightInd w:val="0"/>
              <w:jc w:val="center"/>
              <w:rPr>
                <w:b/>
                <w:bCs/>
                <w:color w:val="000000" w:themeColor="text1"/>
                <w:lang w:eastAsia="ko-KR"/>
              </w:rPr>
            </w:pPr>
            <w:r w:rsidRPr="00FF04B3">
              <w:rPr>
                <w:b/>
                <w:bCs/>
                <w:color w:val="000000" w:themeColor="text1"/>
                <w:lang w:eastAsia="ko-KR"/>
              </w:rPr>
              <w:t>Proposed Change</w:t>
            </w:r>
          </w:p>
        </w:tc>
      </w:tr>
      <w:tr w:rsidR="00BE13B5" w:rsidRPr="00FF04B3" w14:paraId="74306F11" w14:textId="77777777" w:rsidTr="00BE13B5">
        <w:trPr>
          <w:trHeight w:val="1002"/>
          <w:jc w:val="center"/>
        </w:trPr>
        <w:tc>
          <w:tcPr>
            <w:tcW w:w="721" w:type="dxa"/>
          </w:tcPr>
          <w:p w14:paraId="3123B5A9" w14:textId="329397D5" w:rsidR="00BE13B5" w:rsidRPr="00FF04B3" w:rsidRDefault="00BE13B5" w:rsidP="00A15EE1">
            <w:pPr>
              <w:rPr>
                <w:bCs/>
                <w:color w:val="000000" w:themeColor="text1"/>
              </w:rPr>
            </w:pPr>
            <w:r w:rsidRPr="00FF04B3">
              <w:rPr>
                <w:bCs/>
                <w:color w:val="000000" w:themeColor="text1"/>
              </w:rPr>
              <w:t>23</w:t>
            </w:r>
          </w:p>
        </w:tc>
        <w:tc>
          <w:tcPr>
            <w:tcW w:w="1434" w:type="dxa"/>
          </w:tcPr>
          <w:p w14:paraId="41FCE325" w14:textId="7ED91557" w:rsidR="00BE13B5" w:rsidRPr="00FF04B3" w:rsidRDefault="00522CB9" w:rsidP="00A15EE1">
            <w:pPr>
              <w:rPr>
                <w:bCs/>
                <w:color w:val="000000" w:themeColor="text1"/>
              </w:rPr>
            </w:pPr>
            <w:r>
              <w:rPr>
                <w:bCs/>
                <w:color w:val="000000" w:themeColor="text1"/>
              </w:rPr>
              <w:t>C.3; P3779.47</w:t>
            </w:r>
          </w:p>
        </w:tc>
        <w:tc>
          <w:tcPr>
            <w:tcW w:w="2790" w:type="dxa"/>
          </w:tcPr>
          <w:p w14:paraId="1DA2D89D" w14:textId="28D967FB" w:rsidR="00BE13B5" w:rsidRPr="00FF04B3" w:rsidRDefault="00522CB9" w:rsidP="00BE13B5">
            <w:pPr>
              <w:rPr>
                <w:bCs/>
                <w:color w:val="000000" w:themeColor="text1"/>
              </w:rPr>
            </w:pPr>
            <w:r w:rsidRPr="00522CB9">
              <w:rPr>
                <w:bCs/>
                <w:color w:val="000000" w:themeColor="text1"/>
              </w:rPr>
              <w:t>MIB seems to be missing an entry for dot11PhyVHTTable in "dot11phy OBJECT IDENTIFIER ::= { ieee802dot11 4 }"</w:t>
            </w:r>
          </w:p>
        </w:tc>
        <w:tc>
          <w:tcPr>
            <w:tcW w:w="3870" w:type="dxa"/>
          </w:tcPr>
          <w:p w14:paraId="0B5CAE2B" w14:textId="75A29488" w:rsidR="00BE13B5" w:rsidRPr="00FF04B3" w:rsidRDefault="00522CB9" w:rsidP="00BE13B5">
            <w:pPr>
              <w:rPr>
                <w:bCs/>
                <w:color w:val="000000" w:themeColor="text1"/>
              </w:rPr>
            </w:pPr>
            <w:r w:rsidRPr="00522CB9">
              <w:rPr>
                <w:bCs/>
                <w:color w:val="000000" w:themeColor="text1"/>
              </w:rPr>
              <w:t>Insert "-- dot11PHYCMMGTable ::= { dot11phy 23 }". Also entries 25, 26, 27 and 28 seem to be missing. If omitted for some good reason unknown to this commenter, please add an explanation in earlier the "DEFINED ..." text.</w:t>
            </w:r>
          </w:p>
        </w:tc>
      </w:tr>
    </w:tbl>
    <w:p w14:paraId="7C82AD5C" w14:textId="77777777" w:rsidR="00A72F6F" w:rsidRPr="00FF04B3" w:rsidRDefault="00A72F6F" w:rsidP="009508AD">
      <w:pPr>
        <w:shd w:val="clear" w:color="auto" w:fill="FFFFFF"/>
        <w:rPr>
          <w:b/>
          <w:bCs/>
          <w:color w:val="222222"/>
        </w:rPr>
      </w:pPr>
    </w:p>
    <w:p w14:paraId="668E3C52" w14:textId="0B101B47" w:rsidR="00A72F6F" w:rsidRPr="00522CB9" w:rsidRDefault="00522CB9" w:rsidP="009508AD">
      <w:pPr>
        <w:shd w:val="clear" w:color="auto" w:fill="FFFFFF"/>
        <w:rPr>
          <w:b/>
          <w:bCs/>
          <w:color w:val="222222"/>
          <w:u w:val="single"/>
        </w:rPr>
      </w:pPr>
      <w:r w:rsidRPr="00522CB9">
        <w:rPr>
          <w:b/>
          <w:bCs/>
          <w:color w:val="222222"/>
          <w:u w:val="single"/>
        </w:rPr>
        <w:t>Discussion:</w:t>
      </w:r>
    </w:p>
    <w:p w14:paraId="03F321C7" w14:textId="21637E80" w:rsidR="00522CB9" w:rsidRPr="00522CB9" w:rsidRDefault="00522CB9" w:rsidP="009508AD">
      <w:pPr>
        <w:shd w:val="clear" w:color="auto" w:fill="FFFFFF"/>
        <w:rPr>
          <w:color w:val="222222"/>
        </w:rPr>
      </w:pPr>
    </w:p>
    <w:p w14:paraId="00F8B89D" w14:textId="6BA45E31" w:rsidR="00522CB9" w:rsidRDefault="003506A5" w:rsidP="009508AD">
      <w:pPr>
        <w:shd w:val="clear" w:color="auto" w:fill="FFFFFF"/>
        <w:rPr>
          <w:color w:val="222222"/>
        </w:rPr>
      </w:pPr>
      <w:r>
        <w:rPr>
          <w:color w:val="222222"/>
        </w:rPr>
        <w:t>The comment references the definition of dot11phy, and the accompanying commentary:</w:t>
      </w:r>
    </w:p>
    <w:p w14:paraId="1BBE704B" w14:textId="03747546" w:rsidR="00DC1239" w:rsidRDefault="00DC1239" w:rsidP="009508AD">
      <w:pPr>
        <w:shd w:val="clear" w:color="auto" w:fill="FFFFFF"/>
        <w:rPr>
          <w:color w:val="222222"/>
        </w:rPr>
      </w:pPr>
      <w:r>
        <w:rPr>
          <w:color w:val="222222"/>
        </w:rPr>
        <w:t>P3779.20:</w:t>
      </w:r>
    </w:p>
    <w:p w14:paraId="1C39BBBC" w14:textId="46E9CC93" w:rsidR="003506A5" w:rsidRDefault="003506A5" w:rsidP="003506A5">
      <w:pPr>
        <w:pBdr>
          <w:top w:val="single" w:sz="4" w:space="1" w:color="auto"/>
          <w:left w:val="single" w:sz="4" w:space="4" w:color="auto"/>
          <w:bottom w:val="single" w:sz="4" w:space="1" w:color="auto"/>
          <w:right w:val="single" w:sz="4" w:space="4" w:color="auto"/>
        </w:pBdr>
        <w:shd w:val="clear" w:color="auto" w:fill="FFFFFF"/>
        <w:rPr>
          <w:color w:val="222222"/>
        </w:rPr>
      </w:pPr>
      <w:r>
        <w:rPr>
          <w:noProof/>
          <w:color w:val="222222"/>
        </w:rPr>
        <w:drawing>
          <wp:inline distT="0" distB="0" distL="0" distR="0" wp14:anchorId="08672C3C" wp14:editId="01B2E437">
            <wp:extent cx="5895975" cy="3905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3905250"/>
                    </a:xfrm>
                    <a:prstGeom prst="rect">
                      <a:avLst/>
                    </a:prstGeom>
                    <a:noFill/>
                    <a:ln>
                      <a:noFill/>
                    </a:ln>
                  </pic:spPr>
                </pic:pic>
              </a:graphicData>
            </a:graphic>
          </wp:inline>
        </w:drawing>
      </w:r>
    </w:p>
    <w:p w14:paraId="2BC66B9E" w14:textId="63FE6F55" w:rsidR="00522CB9" w:rsidRDefault="00522CB9" w:rsidP="009508AD">
      <w:pPr>
        <w:shd w:val="clear" w:color="auto" w:fill="FFFFFF"/>
        <w:rPr>
          <w:color w:val="222222"/>
        </w:rPr>
      </w:pPr>
    </w:p>
    <w:p w14:paraId="3301E992" w14:textId="0CCF80FB" w:rsidR="003506A5" w:rsidRDefault="003506A5" w:rsidP="009508AD">
      <w:pPr>
        <w:shd w:val="clear" w:color="auto" w:fill="FFFFFF"/>
        <w:rPr>
          <w:color w:val="222222"/>
        </w:rPr>
      </w:pPr>
      <w:r>
        <w:rPr>
          <w:color w:val="222222"/>
        </w:rPr>
        <w:t xml:space="preserve">For each of the groups listed in the comments, there is a definition later in the MIB for that </w:t>
      </w:r>
      <w:r w:rsidR="001824EB">
        <w:rPr>
          <w:color w:val="222222"/>
        </w:rPr>
        <w:t>sub-identifier of the dot11phy OBJECT IDENTIFIER.</w:t>
      </w:r>
    </w:p>
    <w:p w14:paraId="0F93CC18" w14:textId="34095CF5" w:rsidR="001824EB" w:rsidRDefault="001824EB" w:rsidP="009508AD">
      <w:pPr>
        <w:shd w:val="clear" w:color="auto" w:fill="FFFFFF"/>
        <w:rPr>
          <w:color w:val="222222"/>
        </w:rPr>
      </w:pPr>
    </w:p>
    <w:p w14:paraId="663FEB3C" w14:textId="7A12DBF7" w:rsidR="001824EB" w:rsidRDefault="001824EB" w:rsidP="009508AD">
      <w:pPr>
        <w:shd w:val="clear" w:color="auto" w:fill="FFFFFF"/>
        <w:rPr>
          <w:color w:val="222222"/>
        </w:rPr>
      </w:pPr>
      <w:r>
        <w:rPr>
          <w:color w:val="222222"/>
        </w:rPr>
        <w:t>The commenter is correct that dot11PHYVHTTable is missing from this comment.  It does appear later in the MIB, as:</w:t>
      </w:r>
    </w:p>
    <w:p w14:paraId="408D7BDB" w14:textId="0F5DD38F" w:rsidR="001824EB" w:rsidRDefault="001824EB" w:rsidP="001824EB">
      <w:pPr>
        <w:pBdr>
          <w:top w:val="single" w:sz="4" w:space="1" w:color="auto"/>
          <w:left w:val="single" w:sz="4" w:space="4" w:color="auto"/>
          <w:bottom w:val="single" w:sz="4" w:space="1" w:color="auto"/>
          <w:right w:val="single" w:sz="4" w:space="4" w:color="auto"/>
        </w:pBdr>
        <w:shd w:val="clear" w:color="auto" w:fill="FFFFFF"/>
        <w:rPr>
          <w:color w:val="222222"/>
        </w:rPr>
      </w:pPr>
      <w:r>
        <w:rPr>
          <w:noProof/>
          <w:color w:val="222222"/>
        </w:rPr>
        <w:lastRenderedPageBreak/>
        <w:drawing>
          <wp:inline distT="0" distB="0" distL="0" distR="0" wp14:anchorId="24B263F4" wp14:editId="07E8F724">
            <wp:extent cx="5895975" cy="1047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1047750"/>
                    </a:xfrm>
                    <a:prstGeom prst="rect">
                      <a:avLst/>
                    </a:prstGeom>
                    <a:noFill/>
                    <a:ln>
                      <a:noFill/>
                    </a:ln>
                  </pic:spPr>
                </pic:pic>
              </a:graphicData>
            </a:graphic>
          </wp:inline>
        </w:drawing>
      </w:r>
    </w:p>
    <w:p w14:paraId="5CFD3CD0" w14:textId="77777777" w:rsidR="001824EB" w:rsidRDefault="001824EB" w:rsidP="009508AD">
      <w:pPr>
        <w:shd w:val="clear" w:color="auto" w:fill="FFFFFF"/>
        <w:rPr>
          <w:color w:val="222222"/>
        </w:rPr>
      </w:pPr>
    </w:p>
    <w:p w14:paraId="679D128F" w14:textId="1CFD72DF" w:rsidR="003506A5" w:rsidRDefault="001824EB" w:rsidP="009508AD">
      <w:pPr>
        <w:shd w:val="clear" w:color="auto" w:fill="FFFFFF"/>
        <w:rPr>
          <w:color w:val="222222"/>
        </w:rPr>
      </w:pPr>
      <w:r>
        <w:rPr>
          <w:color w:val="222222"/>
        </w:rPr>
        <w:t>Thus, dot11PhyVHTTable could/should appear in the comments, with sub-identifier 23.</w:t>
      </w:r>
      <w:r w:rsidR="00A1575F">
        <w:rPr>
          <w:color w:val="222222"/>
        </w:rPr>
        <w:t xml:space="preserve">  Similarly, dot11VHTTransmitBeamformingConfigTable is missing as sub-identifier 24.</w:t>
      </w:r>
    </w:p>
    <w:p w14:paraId="17F72210" w14:textId="7EE27947" w:rsidR="001824EB" w:rsidRDefault="001824EB" w:rsidP="009508AD">
      <w:pPr>
        <w:shd w:val="clear" w:color="auto" w:fill="FFFFFF"/>
        <w:rPr>
          <w:color w:val="222222"/>
        </w:rPr>
      </w:pPr>
    </w:p>
    <w:p w14:paraId="5153A535" w14:textId="55B4D404" w:rsidR="001824EB" w:rsidRDefault="001824EB" w:rsidP="009508AD">
      <w:pPr>
        <w:shd w:val="clear" w:color="auto" w:fill="FFFFFF"/>
        <w:rPr>
          <w:color w:val="222222"/>
        </w:rPr>
      </w:pPr>
      <w:r>
        <w:rPr>
          <w:color w:val="222222"/>
        </w:rPr>
        <w:t>The commenter notes some other sub-identifiers that are not listed in the comment, and we note there are even more that the commenter did not mention.  Specifically,</w:t>
      </w:r>
    </w:p>
    <w:p w14:paraId="153680A9" w14:textId="30908D75" w:rsidR="001824EB" w:rsidRDefault="001824EB" w:rsidP="001824EB">
      <w:pPr>
        <w:pStyle w:val="ListParagraph"/>
        <w:numPr>
          <w:ilvl w:val="0"/>
          <w:numId w:val="36"/>
        </w:numPr>
        <w:shd w:val="clear" w:color="auto" w:fill="FFFFFF"/>
        <w:rPr>
          <w:color w:val="222222"/>
        </w:rPr>
      </w:pPr>
      <w:r>
        <w:rPr>
          <w:color w:val="222222"/>
        </w:rPr>
        <w:t xml:space="preserve">4: This was the FHSS </w:t>
      </w:r>
      <w:proofErr w:type="spellStart"/>
      <w:r>
        <w:rPr>
          <w:color w:val="222222"/>
        </w:rPr>
        <w:t>phy</w:t>
      </w:r>
      <w:proofErr w:type="spellEnd"/>
      <w:r>
        <w:rPr>
          <w:color w:val="222222"/>
        </w:rPr>
        <w:t>.</w:t>
      </w:r>
    </w:p>
    <w:p w14:paraId="3152E7DA" w14:textId="0720D1DB" w:rsidR="001824EB" w:rsidRDefault="001824EB" w:rsidP="001824EB">
      <w:pPr>
        <w:pStyle w:val="ListParagraph"/>
        <w:numPr>
          <w:ilvl w:val="0"/>
          <w:numId w:val="36"/>
        </w:numPr>
        <w:shd w:val="clear" w:color="auto" w:fill="FFFFFF"/>
        <w:rPr>
          <w:color w:val="222222"/>
        </w:rPr>
      </w:pPr>
      <w:r>
        <w:rPr>
          <w:color w:val="222222"/>
        </w:rPr>
        <w:t xml:space="preserve">6: This was the IR </w:t>
      </w:r>
      <w:proofErr w:type="spellStart"/>
      <w:r>
        <w:rPr>
          <w:color w:val="222222"/>
        </w:rPr>
        <w:t>phy</w:t>
      </w:r>
      <w:proofErr w:type="spellEnd"/>
      <w:r>
        <w:rPr>
          <w:color w:val="222222"/>
        </w:rPr>
        <w:t>.</w:t>
      </w:r>
    </w:p>
    <w:p w14:paraId="06A3142F" w14:textId="395F9EE6" w:rsidR="001824EB" w:rsidRDefault="001824EB" w:rsidP="001824EB">
      <w:pPr>
        <w:pStyle w:val="ListParagraph"/>
        <w:numPr>
          <w:ilvl w:val="0"/>
          <w:numId w:val="36"/>
        </w:numPr>
        <w:shd w:val="clear" w:color="auto" w:fill="FFFFFF"/>
        <w:rPr>
          <w:color w:val="222222"/>
        </w:rPr>
      </w:pPr>
      <w:r>
        <w:rPr>
          <w:color w:val="222222"/>
        </w:rPr>
        <w:t>20:  Skipped during 11ad?</w:t>
      </w:r>
    </w:p>
    <w:p w14:paraId="71689DAD" w14:textId="3D69797A" w:rsidR="001824EB" w:rsidRDefault="001824EB" w:rsidP="001824EB">
      <w:pPr>
        <w:pStyle w:val="ListParagraph"/>
        <w:numPr>
          <w:ilvl w:val="0"/>
          <w:numId w:val="36"/>
        </w:numPr>
        <w:shd w:val="clear" w:color="auto" w:fill="FFFFFF"/>
        <w:rPr>
          <w:color w:val="222222"/>
        </w:rPr>
      </w:pPr>
      <w:r>
        <w:rPr>
          <w:color w:val="222222"/>
        </w:rPr>
        <w:t>21: Skipped during 11ad?</w:t>
      </w:r>
    </w:p>
    <w:p w14:paraId="44FB2871" w14:textId="5E8160FC" w:rsidR="001824EB" w:rsidRDefault="001824EB" w:rsidP="001824EB">
      <w:pPr>
        <w:pStyle w:val="ListParagraph"/>
        <w:numPr>
          <w:ilvl w:val="0"/>
          <w:numId w:val="36"/>
        </w:numPr>
        <w:shd w:val="clear" w:color="auto" w:fill="FFFFFF"/>
        <w:rPr>
          <w:color w:val="222222"/>
        </w:rPr>
      </w:pPr>
      <w:r>
        <w:rPr>
          <w:color w:val="222222"/>
        </w:rPr>
        <w:t xml:space="preserve">24: </w:t>
      </w:r>
      <w:r w:rsidR="00DC1239">
        <w:rPr>
          <w:color w:val="222222"/>
        </w:rPr>
        <w:t xml:space="preserve">Is defined as the </w:t>
      </w:r>
      <w:bookmarkStart w:id="0" w:name="_Hlk87204571"/>
      <w:r w:rsidR="00DC1239">
        <w:rPr>
          <w:color w:val="222222"/>
        </w:rPr>
        <w:t>dot11VHTTransmitBeamformingConfigTable</w:t>
      </w:r>
      <w:bookmarkEnd w:id="0"/>
    </w:p>
    <w:p w14:paraId="1CD8387F" w14:textId="1874A086" w:rsidR="001824EB" w:rsidRDefault="001824EB" w:rsidP="001824EB">
      <w:pPr>
        <w:pStyle w:val="ListParagraph"/>
        <w:numPr>
          <w:ilvl w:val="0"/>
          <w:numId w:val="36"/>
        </w:numPr>
        <w:shd w:val="clear" w:color="auto" w:fill="FFFFFF"/>
        <w:rPr>
          <w:color w:val="222222"/>
        </w:rPr>
      </w:pPr>
      <w:r>
        <w:rPr>
          <w:color w:val="222222"/>
        </w:rPr>
        <w:t>25:</w:t>
      </w:r>
      <w:r w:rsidR="00DC1239">
        <w:rPr>
          <w:color w:val="222222"/>
        </w:rPr>
        <w:t xml:space="preserve"> </w:t>
      </w:r>
      <w:r w:rsidR="00DC1239">
        <w:rPr>
          <w:color w:val="222222"/>
        </w:rPr>
        <w:t xml:space="preserve">Is defined as the </w:t>
      </w:r>
      <w:r w:rsidR="00DC1239">
        <w:rPr>
          <w:color w:val="222222"/>
        </w:rPr>
        <w:t>dot11PhyTVHTTable</w:t>
      </w:r>
    </w:p>
    <w:p w14:paraId="56CF4CC2" w14:textId="4D3EEE39" w:rsidR="001824EB" w:rsidRDefault="001824EB" w:rsidP="001824EB">
      <w:pPr>
        <w:pStyle w:val="ListParagraph"/>
        <w:numPr>
          <w:ilvl w:val="0"/>
          <w:numId w:val="36"/>
        </w:numPr>
        <w:shd w:val="clear" w:color="auto" w:fill="FFFFFF"/>
        <w:rPr>
          <w:color w:val="222222"/>
        </w:rPr>
      </w:pPr>
      <w:r>
        <w:rPr>
          <w:color w:val="222222"/>
        </w:rPr>
        <w:t>26:</w:t>
      </w:r>
      <w:r w:rsidR="00DC1239">
        <w:rPr>
          <w:color w:val="222222"/>
        </w:rPr>
        <w:t xml:space="preserve"> </w:t>
      </w:r>
      <w:r w:rsidR="00DC1239">
        <w:rPr>
          <w:color w:val="222222"/>
        </w:rPr>
        <w:t xml:space="preserve">Is defined as the </w:t>
      </w:r>
      <w:bookmarkStart w:id="1" w:name="_Hlk87204591"/>
      <w:r w:rsidR="00DC1239">
        <w:rPr>
          <w:color w:val="222222"/>
        </w:rPr>
        <w:t>dot11TVHTTransmittedBeamformingConfigTable</w:t>
      </w:r>
      <w:bookmarkEnd w:id="1"/>
    </w:p>
    <w:p w14:paraId="6D02EAC7" w14:textId="0245EDBB" w:rsidR="001824EB" w:rsidRDefault="001824EB" w:rsidP="001824EB">
      <w:pPr>
        <w:pStyle w:val="ListParagraph"/>
        <w:numPr>
          <w:ilvl w:val="0"/>
          <w:numId w:val="36"/>
        </w:numPr>
        <w:shd w:val="clear" w:color="auto" w:fill="FFFFFF"/>
        <w:rPr>
          <w:color w:val="222222"/>
        </w:rPr>
      </w:pPr>
      <w:r>
        <w:rPr>
          <w:color w:val="222222"/>
        </w:rPr>
        <w:t>27:</w:t>
      </w:r>
      <w:r w:rsidR="00DC1239">
        <w:rPr>
          <w:color w:val="222222"/>
        </w:rPr>
        <w:t xml:space="preserve"> </w:t>
      </w:r>
      <w:r w:rsidR="00DC1239">
        <w:rPr>
          <w:color w:val="222222"/>
        </w:rPr>
        <w:t xml:space="preserve">Is defined as the </w:t>
      </w:r>
      <w:r w:rsidR="00DC1239">
        <w:rPr>
          <w:color w:val="222222"/>
        </w:rPr>
        <w:t>dot11PhyS1GTable</w:t>
      </w:r>
    </w:p>
    <w:p w14:paraId="68C30082" w14:textId="4FBDDD6C" w:rsidR="001824EB" w:rsidRPr="001824EB" w:rsidRDefault="001824EB" w:rsidP="001824EB">
      <w:pPr>
        <w:pStyle w:val="ListParagraph"/>
        <w:numPr>
          <w:ilvl w:val="0"/>
          <w:numId w:val="36"/>
        </w:numPr>
        <w:shd w:val="clear" w:color="auto" w:fill="FFFFFF"/>
        <w:rPr>
          <w:color w:val="222222"/>
        </w:rPr>
      </w:pPr>
      <w:r>
        <w:rPr>
          <w:color w:val="222222"/>
        </w:rPr>
        <w:t>28:</w:t>
      </w:r>
      <w:r w:rsidR="00DC1239">
        <w:rPr>
          <w:color w:val="222222"/>
        </w:rPr>
        <w:t xml:space="preserve"> </w:t>
      </w:r>
      <w:r w:rsidR="00DC1239">
        <w:rPr>
          <w:color w:val="222222"/>
        </w:rPr>
        <w:t xml:space="preserve">Is defined as the </w:t>
      </w:r>
      <w:r w:rsidR="00DC1239">
        <w:rPr>
          <w:color w:val="222222"/>
        </w:rPr>
        <w:t>dot11S1GTransmitBeamformingConfigTable</w:t>
      </w:r>
    </w:p>
    <w:p w14:paraId="0434A3D2" w14:textId="2B9E3547" w:rsidR="001824EB" w:rsidRDefault="001824EB" w:rsidP="009508AD">
      <w:pPr>
        <w:shd w:val="clear" w:color="auto" w:fill="FFFFFF"/>
        <w:rPr>
          <w:color w:val="222222"/>
        </w:rPr>
      </w:pPr>
    </w:p>
    <w:p w14:paraId="6F6EBDBB" w14:textId="13D28AFC" w:rsidR="00A1575F" w:rsidRDefault="0019074C" w:rsidP="009508AD">
      <w:pPr>
        <w:shd w:val="clear" w:color="auto" w:fill="FFFFFF"/>
        <w:rPr>
          <w:color w:val="222222"/>
        </w:rPr>
      </w:pPr>
      <w:r>
        <w:rPr>
          <w:color w:val="222222"/>
        </w:rPr>
        <w:t>Without deeper research into (presumably) some proposal during approximately the same time as 802.11ad was developed, the abandoned use of sub-identifiers 20 and 21 is unknown.</w:t>
      </w:r>
    </w:p>
    <w:p w14:paraId="5016DD88" w14:textId="77777777" w:rsidR="00A1575F" w:rsidRPr="00522CB9" w:rsidRDefault="00A1575F" w:rsidP="009508AD">
      <w:pPr>
        <w:shd w:val="clear" w:color="auto" w:fill="FFFFFF"/>
        <w:rPr>
          <w:color w:val="222222"/>
        </w:rPr>
      </w:pPr>
    </w:p>
    <w:p w14:paraId="03A9D5E5" w14:textId="02B9B87E" w:rsidR="00522CB9" w:rsidRPr="00522CB9" w:rsidRDefault="00522CB9" w:rsidP="009508AD">
      <w:pPr>
        <w:shd w:val="clear" w:color="auto" w:fill="FFFFFF"/>
        <w:rPr>
          <w:b/>
          <w:bCs/>
          <w:color w:val="222222"/>
          <w:u w:val="single"/>
        </w:rPr>
      </w:pPr>
      <w:r w:rsidRPr="00522CB9">
        <w:rPr>
          <w:b/>
          <w:bCs/>
          <w:color w:val="222222"/>
          <w:u w:val="single"/>
        </w:rPr>
        <w:t>Proposed Resolution:</w:t>
      </w:r>
    </w:p>
    <w:p w14:paraId="29E75BF1" w14:textId="0F2A932E" w:rsidR="00522CB9" w:rsidRDefault="00522CB9" w:rsidP="009508AD">
      <w:pPr>
        <w:shd w:val="clear" w:color="auto" w:fill="FFFFFF"/>
        <w:rPr>
          <w:color w:val="222222"/>
        </w:rPr>
      </w:pPr>
    </w:p>
    <w:p w14:paraId="6F5D16F0" w14:textId="03574EBF" w:rsidR="0019074C" w:rsidRDefault="0019074C" w:rsidP="009508AD">
      <w:pPr>
        <w:shd w:val="clear" w:color="auto" w:fill="FFFFFF"/>
        <w:rPr>
          <w:color w:val="222222"/>
        </w:rPr>
      </w:pPr>
      <w:r>
        <w:rPr>
          <w:color w:val="222222"/>
        </w:rPr>
        <w:t>Revised.</w:t>
      </w:r>
    </w:p>
    <w:p w14:paraId="4774A245" w14:textId="77777777" w:rsidR="0019074C" w:rsidRPr="00522CB9" w:rsidRDefault="0019074C" w:rsidP="009508AD">
      <w:pPr>
        <w:shd w:val="clear" w:color="auto" w:fill="FFFFFF"/>
        <w:rPr>
          <w:color w:val="222222"/>
        </w:rPr>
      </w:pPr>
    </w:p>
    <w:p w14:paraId="59681E62" w14:textId="5B4A5D67" w:rsidR="00522CB9" w:rsidRDefault="00DC1239" w:rsidP="009508AD">
      <w:pPr>
        <w:shd w:val="clear" w:color="auto" w:fill="FFFFFF"/>
        <w:rPr>
          <w:color w:val="222222"/>
        </w:rPr>
      </w:pPr>
      <w:r>
        <w:rPr>
          <w:color w:val="222222"/>
        </w:rPr>
        <w:t>Insert the following rows, in the correct numeric sequence, in the comments following the definition of dot11phy, on P3779.27:</w:t>
      </w:r>
    </w:p>
    <w:p w14:paraId="4EEE1301" w14:textId="531E6BD7" w:rsidR="00DC1239" w:rsidRDefault="00DC1239" w:rsidP="00DC1239">
      <w:pPr>
        <w:shd w:val="clear" w:color="auto" w:fill="FFFFFF"/>
        <w:ind w:left="720"/>
        <w:rPr>
          <w:rFonts w:ascii="Courier" w:hAnsi="Courier" w:cs="Courier"/>
          <w:sz w:val="18"/>
          <w:szCs w:val="18"/>
        </w:rPr>
      </w:pPr>
      <w:r>
        <w:rPr>
          <w:color w:val="222222"/>
        </w:rPr>
        <w:t xml:space="preserve">“-- </w:t>
      </w:r>
      <w:r>
        <w:rPr>
          <w:rFonts w:ascii="Courier" w:hAnsi="Courier" w:cs="Courier"/>
          <w:sz w:val="18"/>
          <w:szCs w:val="18"/>
        </w:rPr>
        <w:t>dot11PhyFHSSTable ::= { dot11phy 4 }</w:t>
      </w:r>
      <w:r>
        <w:rPr>
          <w:rFonts w:ascii="Courier" w:hAnsi="Courier" w:cs="Courier"/>
          <w:sz w:val="18"/>
          <w:szCs w:val="18"/>
        </w:rPr>
        <w:t xml:space="preserve"> – No longer used”</w:t>
      </w:r>
    </w:p>
    <w:p w14:paraId="50EF2A2A" w14:textId="46453C3D" w:rsidR="00DC1239" w:rsidRDefault="00DC1239" w:rsidP="00DC1239">
      <w:pPr>
        <w:shd w:val="clear" w:color="auto" w:fill="FFFFFF"/>
        <w:ind w:left="720"/>
        <w:rPr>
          <w:rFonts w:ascii="Courier" w:hAnsi="Courier" w:cs="Courier"/>
          <w:sz w:val="18"/>
          <w:szCs w:val="18"/>
        </w:rPr>
      </w:pPr>
      <w:r>
        <w:rPr>
          <w:color w:val="222222"/>
        </w:rPr>
        <w:t xml:space="preserve">“-- </w:t>
      </w:r>
      <w:r>
        <w:rPr>
          <w:rFonts w:ascii="Courier" w:hAnsi="Courier" w:cs="Courier"/>
          <w:sz w:val="18"/>
          <w:szCs w:val="18"/>
        </w:rPr>
        <w:t>dot11Phy</w:t>
      </w:r>
      <w:r>
        <w:rPr>
          <w:rFonts w:ascii="Courier" w:hAnsi="Courier" w:cs="Courier"/>
          <w:sz w:val="18"/>
          <w:szCs w:val="18"/>
        </w:rPr>
        <w:t>IR</w:t>
      </w:r>
      <w:r>
        <w:rPr>
          <w:rFonts w:ascii="Courier" w:hAnsi="Courier" w:cs="Courier"/>
          <w:sz w:val="18"/>
          <w:szCs w:val="18"/>
        </w:rPr>
        <w:t xml:space="preserve">Table ::= { dot11phy </w:t>
      </w:r>
      <w:r>
        <w:rPr>
          <w:rFonts w:ascii="Courier" w:hAnsi="Courier" w:cs="Courier"/>
          <w:sz w:val="18"/>
          <w:szCs w:val="18"/>
        </w:rPr>
        <w:t>6</w:t>
      </w:r>
      <w:r>
        <w:rPr>
          <w:rFonts w:ascii="Courier" w:hAnsi="Courier" w:cs="Courier"/>
          <w:sz w:val="18"/>
          <w:szCs w:val="18"/>
        </w:rPr>
        <w:t xml:space="preserve"> } – No longer used”</w:t>
      </w:r>
    </w:p>
    <w:p w14:paraId="30CAE683" w14:textId="469174C7" w:rsidR="00A1575F" w:rsidRDefault="00A1575F" w:rsidP="00A1575F">
      <w:pPr>
        <w:shd w:val="clear" w:color="auto" w:fill="FFFFFF"/>
        <w:ind w:left="720"/>
        <w:rPr>
          <w:rFonts w:ascii="Courier" w:hAnsi="Courier" w:cs="Courier"/>
          <w:sz w:val="18"/>
          <w:szCs w:val="18"/>
        </w:rPr>
      </w:pPr>
      <w:r>
        <w:rPr>
          <w:color w:val="222222"/>
        </w:rPr>
        <w:t xml:space="preserve">“-- </w:t>
      </w:r>
      <w:r w:rsidRPr="00DC1239">
        <w:rPr>
          <w:rFonts w:ascii="Courier" w:hAnsi="Courier" w:cs="Courier"/>
          <w:sz w:val="18"/>
          <w:szCs w:val="18"/>
        </w:rPr>
        <w:t>dot11</w:t>
      </w:r>
      <w:r>
        <w:rPr>
          <w:rFonts w:ascii="Courier" w:hAnsi="Courier" w:cs="Courier"/>
          <w:sz w:val="18"/>
          <w:szCs w:val="18"/>
        </w:rPr>
        <w:t xml:space="preserve">PhyVHTTable </w:t>
      </w:r>
      <w:r>
        <w:rPr>
          <w:rFonts w:ascii="Courier" w:hAnsi="Courier" w:cs="Courier"/>
          <w:sz w:val="18"/>
          <w:szCs w:val="18"/>
        </w:rPr>
        <w:t>::= { dot11phy 2</w:t>
      </w:r>
      <w:r>
        <w:rPr>
          <w:rFonts w:ascii="Courier" w:hAnsi="Courier" w:cs="Courier"/>
          <w:sz w:val="18"/>
          <w:szCs w:val="18"/>
        </w:rPr>
        <w:t>3</w:t>
      </w:r>
      <w:r>
        <w:rPr>
          <w:rFonts w:ascii="Courier" w:hAnsi="Courier" w:cs="Courier"/>
          <w:sz w:val="18"/>
          <w:szCs w:val="18"/>
        </w:rPr>
        <w:t xml:space="preserve"> }</w:t>
      </w:r>
    </w:p>
    <w:p w14:paraId="79EA396D" w14:textId="61901A5A" w:rsidR="00A1575F" w:rsidRDefault="00A1575F" w:rsidP="00A1575F">
      <w:pPr>
        <w:shd w:val="clear" w:color="auto" w:fill="FFFFFF"/>
        <w:ind w:left="720"/>
        <w:rPr>
          <w:rFonts w:ascii="Courier" w:hAnsi="Courier" w:cs="Courier"/>
          <w:sz w:val="18"/>
          <w:szCs w:val="18"/>
        </w:rPr>
      </w:pPr>
      <w:r>
        <w:rPr>
          <w:color w:val="222222"/>
        </w:rPr>
        <w:t xml:space="preserve">“-- </w:t>
      </w:r>
      <w:r w:rsidRPr="00DC1239">
        <w:rPr>
          <w:rFonts w:ascii="Courier" w:hAnsi="Courier" w:cs="Courier"/>
          <w:sz w:val="18"/>
          <w:szCs w:val="18"/>
        </w:rPr>
        <w:t>dot11VHTTransmitBeamformingConfigTable</w:t>
      </w:r>
      <w:r>
        <w:rPr>
          <w:rFonts w:ascii="Courier" w:hAnsi="Courier" w:cs="Courier"/>
          <w:sz w:val="18"/>
          <w:szCs w:val="18"/>
        </w:rPr>
        <w:t xml:space="preserve"> </w:t>
      </w:r>
      <w:r>
        <w:rPr>
          <w:rFonts w:ascii="Courier" w:hAnsi="Courier" w:cs="Courier"/>
          <w:sz w:val="18"/>
          <w:szCs w:val="18"/>
        </w:rPr>
        <w:t>::= { dot11phy 24 }</w:t>
      </w:r>
    </w:p>
    <w:p w14:paraId="7B4282B4" w14:textId="704FE455" w:rsidR="00DC1239" w:rsidRDefault="00DC1239" w:rsidP="00DC1239">
      <w:pPr>
        <w:shd w:val="clear" w:color="auto" w:fill="FFFFFF"/>
        <w:ind w:left="720"/>
        <w:rPr>
          <w:rFonts w:ascii="Courier" w:hAnsi="Courier" w:cs="Courier"/>
          <w:sz w:val="18"/>
          <w:szCs w:val="18"/>
        </w:rPr>
      </w:pPr>
      <w:r>
        <w:rPr>
          <w:color w:val="222222"/>
        </w:rPr>
        <w:t xml:space="preserve">“-- </w:t>
      </w:r>
      <w:r w:rsidRPr="00DC1239">
        <w:rPr>
          <w:rFonts w:ascii="Courier" w:hAnsi="Courier" w:cs="Courier"/>
          <w:sz w:val="18"/>
          <w:szCs w:val="18"/>
        </w:rPr>
        <w:t>dot11PhyTVHTTable</w:t>
      </w:r>
      <w:r w:rsidR="00A1575F">
        <w:rPr>
          <w:rFonts w:ascii="Courier" w:hAnsi="Courier" w:cs="Courier"/>
          <w:sz w:val="18"/>
          <w:szCs w:val="18"/>
        </w:rPr>
        <w:t xml:space="preserve"> </w:t>
      </w:r>
      <w:r>
        <w:rPr>
          <w:rFonts w:ascii="Courier" w:hAnsi="Courier" w:cs="Courier"/>
          <w:sz w:val="18"/>
          <w:szCs w:val="18"/>
        </w:rPr>
        <w:t xml:space="preserve">::= { dot11phy </w:t>
      </w:r>
      <w:r w:rsidR="00B56E27">
        <w:rPr>
          <w:rFonts w:ascii="Courier" w:hAnsi="Courier" w:cs="Courier"/>
          <w:sz w:val="18"/>
          <w:szCs w:val="18"/>
        </w:rPr>
        <w:t>25</w:t>
      </w:r>
      <w:r>
        <w:rPr>
          <w:rFonts w:ascii="Courier" w:hAnsi="Courier" w:cs="Courier"/>
          <w:sz w:val="18"/>
          <w:szCs w:val="18"/>
        </w:rPr>
        <w:t xml:space="preserve"> }</w:t>
      </w:r>
    </w:p>
    <w:p w14:paraId="419D2D39" w14:textId="43F77176" w:rsidR="00DC1239" w:rsidRDefault="00DC1239" w:rsidP="00DC1239">
      <w:pPr>
        <w:shd w:val="clear" w:color="auto" w:fill="FFFFFF"/>
        <w:ind w:left="720"/>
        <w:rPr>
          <w:rFonts w:ascii="Courier" w:hAnsi="Courier" w:cs="Courier"/>
          <w:sz w:val="18"/>
          <w:szCs w:val="18"/>
        </w:rPr>
      </w:pPr>
      <w:r>
        <w:rPr>
          <w:color w:val="222222"/>
        </w:rPr>
        <w:t xml:space="preserve">“-- </w:t>
      </w:r>
      <w:r w:rsidRPr="00DC1239">
        <w:rPr>
          <w:rFonts w:ascii="Courier" w:hAnsi="Courier" w:cs="Courier"/>
          <w:sz w:val="18"/>
          <w:szCs w:val="18"/>
        </w:rPr>
        <w:t>dot11TVHTTransmittedBeamformingConfigTable</w:t>
      </w:r>
      <w:r w:rsidR="00A1575F">
        <w:rPr>
          <w:rFonts w:ascii="Courier" w:hAnsi="Courier" w:cs="Courier"/>
          <w:sz w:val="18"/>
          <w:szCs w:val="18"/>
        </w:rPr>
        <w:t xml:space="preserve"> </w:t>
      </w:r>
      <w:r>
        <w:rPr>
          <w:rFonts w:ascii="Courier" w:hAnsi="Courier" w:cs="Courier"/>
          <w:sz w:val="18"/>
          <w:szCs w:val="18"/>
        </w:rPr>
        <w:t xml:space="preserve">::= { dot11phy </w:t>
      </w:r>
      <w:r w:rsidR="00B56E27">
        <w:rPr>
          <w:rFonts w:ascii="Courier" w:hAnsi="Courier" w:cs="Courier"/>
          <w:sz w:val="18"/>
          <w:szCs w:val="18"/>
        </w:rPr>
        <w:t>26</w:t>
      </w:r>
      <w:r>
        <w:rPr>
          <w:rFonts w:ascii="Courier" w:hAnsi="Courier" w:cs="Courier"/>
          <w:sz w:val="18"/>
          <w:szCs w:val="18"/>
        </w:rPr>
        <w:t xml:space="preserve"> }”</w:t>
      </w:r>
    </w:p>
    <w:p w14:paraId="45DCCB08" w14:textId="06C89AF4" w:rsidR="00DC1239" w:rsidRDefault="00DC1239" w:rsidP="00DC1239">
      <w:pPr>
        <w:shd w:val="clear" w:color="auto" w:fill="FFFFFF"/>
        <w:ind w:left="720"/>
        <w:rPr>
          <w:rFonts w:ascii="Courier" w:hAnsi="Courier" w:cs="Courier"/>
          <w:sz w:val="18"/>
          <w:szCs w:val="18"/>
        </w:rPr>
      </w:pPr>
      <w:r>
        <w:rPr>
          <w:color w:val="222222"/>
        </w:rPr>
        <w:t xml:space="preserve">“-- </w:t>
      </w:r>
      <w:r w:rsidRPr="00DC1239">
        <w:rPr>
          <w:rFonts w:ascii="Courier" w:hAnsi="Courier" w:cs="Courier"/>
          <w:sz w:val="18"/>
          <w:szCs w:val="18"/>
        </w:rPr>
        <w:t>dot11PhyS1GTable</w:t>
      </w:r>
      <w:r w:rsidR="00A1575F">
        <w:rPr>
          <w:rFonts w:ascii="Courier" w:hAnsi="Courier" w:cs="Courier"/>
          <w:sz w:val="18"/>
          <w:szCs w:val="18"/>
        </w:rPr>
        <w:t xml:space="preserve"> </w:t>
      </w:r>
      <w:r>
        <w:rPr>
          <w:rFonts w:ascii="Courier" w:hAnsi="Courier" w:cs="Courier"/>
          <w:sz w:val="18"/>
          <w:szCs w:val="18"/>
        </w:rPr>
        <w:t xml:space="preserve">::= { dot11phy </w:t>
      </w:r>
      <w:r w:rsidR="00B56E27">
        <w:rPr>
          <w:rFonts w:ascii="Courier" w:hAnsi="Courier" w:cs="Courier"/>
          <w:sz w:val="18"/>
          <w:szCs w:val="18"/>
        </w:rPr>
        <w:t>27</w:t>
      </w:r>
      <w:r>
        <w:rPr>
          <w:rFonts w:ascii="Courier" w:hAnsi="Courier" w:cs="Courier"/>
          <w:sz w:val="18"/>
          <w:szCs w:val="18"/>
        </w:rPr>
        <w:t xml:space="preserve"> }</w:t>
      </w:r>
    </w:p>
    <w:p w14:paraId="4265DE41" w14:textId="58ED495F" w:rsidR="00DC1239" w:rsidRDefault="00DC1239" w:rsidP="00DC1239">
      <w:pPr>
        <w:shd w:val="clear" w:color="auto" w:fill="FFFFFF"/>
        <w:ind w:left="720"/>
        <w:rPr>
          <w:rFonts w:ascii="Courier" w:hAnsi="Courier" w:cs="Courier"/>
          <w:sz w:val="18"/>
          <w:szCs w:val="18"/>
        </w:rPr>
      </w:pPr>
      <w:r>
        <w:rPr>
          <w:color w:val="222222"/>
        </w:rPr>
        <w:t xml:space="preserve">“-- </w:t>
      </w:r>
      <w:r w:rsidRPr="00DC1239">
        <w:rPr>
          <w:rFonts w:ascii="Courier" w:hAnsi="Courier" w:cs="Courier"/>
          <w:sz w:val="18"/>
          <w:szCs w:val="18"/>
        </w:rPr>
        <w:t>dot11S1GTransmitBeamformingConfigTable</w:t>
      </w:r>
      <w:r w:rsidR="00A1575F">
        <w:rPr>
          <w:rFonts w:ascii="Courier" w:hAnsi="Courier" w:cs="Courier"/>
          <w:sz w:val="18"/>
          <w:szCs w:val="18"/>
        </w:rPr>
        <w:t xml:space="preserve"> </w:t>
      </w:r>
      <w:r>
        <w:rPr>
          <w:rFonts w:ascii="Courier" w:hAnsi="Courier" w:cs="Courier"/>
          <w:sz w:val="18"/>
          <w:szCs w:val="18"/>
        </w:rPr>
        <w:t xml:space="preserve">::= { dot11phy </w:t>
      </w:r>
      <w:r w:rsidR="00B56E27">
        <w:rPr>
          <w:rFonts w:ascii="Courier" w:hAnsi="Courier" w:cs="Courier"/>
          <w:sz w:val="18"/>
          <w:szCs w:val="18"/>
        </w:rPr>
        <w:t>28</w:t>
      </w:r>
      <w:r>
        <w:rPr>
          <w:rFonts w:ascii="Courier" w:hAnsi="Courier" w:cs="Courier"/>
          <w:sz w:val="18"/>
          <w:szCs w:val="18"/>
        </w:rPr>
        <w:t xml:space="preserve"> }”</w:t>
      </w:r>
    </w:p>
    <w:p w14:paraId="6924D7B5" w14:textId="77777777" w:rsidR="00DC1239" w:rsidRPr="00522CB9" w:rsidRDefault="00DC1239" w:rsidP="00DC1239">
      <w:pPr>
        <w:shd w:val="clear" w:color="auto" w:fill="FFFFFF"/>
        <w:ind w:left="720"/>
        <w:rPr>
          <w:color w:val="222222"/>
        </w:rPr>
      </w:pPr>
    </w:p>
    <w:p w14:paraId="511C0519" w14:textId="77777777" w:rsidR="00DC1239" w:rsidRPr="00522CB9" w:rsidRDefault="00DC1239" w:rsidP="00DC1239">
      <w:pPr>
        <w:shd w:val="clear" w:color="auto" w:fill="FFFFFF"/>
        <w:ind w:left="720"/>
        <w:rPr>
          <w:color w:val="222222"/>
        </w:rPr>
      </w:pPr>
    </w:p>
    <w:sectPr w:rsidR="00DC1239" w:rsidRPr="00522CB9" w:rsidSect="004D4962">
      <w:headerReference w:type="default" r:id="rId13"/>
      <w:footerReference w:type="default" r:id="rId14"/>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1DE5F" w14:textId="77777777" w:rsidR="006D7719" w:rsidRDefault="006D7719">
      <w:r>
        <w:separator/>
      </w:r>
    </w:p>
  </w:endnote>
  <w:endnote w:type="continuationSeparator" w:id="0">
    <w:p w14:paraId="4EE80317" w14:textId="77777777" w:rsidR="006D7719" w:rsidRDefault="006D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D2A7EAE" w:rsidR="00A96DBB" w:rsidRDefault="006D7719">
    <w:pPr>
      <w:pStyle w:val="Footer"/>
      <w:tabs>
        <w:tab w:val="clear" w:pos="6480"/>
        <w:tab w:val="center" w:pos="4680"/>
        <w:tab w:val="right" w:pos="9360"/>
      </w:tabs>
    </w:pPr>
    <w:r>
      <w:fldChar w:fldCharType="begin"/>
    </w:r>
    <w:r>
      <w:instrText xml:space="preserve"> SUBJECT  \* MERGEFORM</w:instrText>
    </w:r>
    <w:r>
      <w:instrText xml:space="preserve">AT </w:instrText>
    </w:r>
    <w:r>
      <w:fldChar w:fldCharType="separate"/>
    </w:r>
    <w:r w:rsidR="00A96DBB">
      <w:t>Submission</w:t>
    </w:r>
    <w:r>
      <w:fldChar w:fldCharType="end"/>
    </w:r>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r>
    <w:r w:rsidR="006A58EE">
      <w:t>Mark Hamilton, Ruckus/CommScope</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AC94D" w14:textId="77777777" w:rsidR="006D7719" w:rsidRDefault="006D7719">
      <w:r>
        <w:separator/>
      </w:r>
    </w:p>
  </w:footnote>
  <w:footnote w:type="continuationSeparator" w:id="0">
    <w:p w14:paraId="1F08B6C1" w14:textId="77777777" w:rsidR="006D7719" w:rsidRDefault="006D7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480A4346" w:rsidR="00A96DBB" w:rsidRDefault="006A58EE">
    <w:pPr>
      <w:pStyle w:val="Header"/>
      <w:tabs>
        <w:tab w:val="clear" w:pos="6480"/>
        <w:tab w:val="center" w:pos="4680"/>
        <w:tab w:val="right" w:pos="9360"/>
      </w:tabs>
    </w:pPr>
    <w:r>
      <w:t>November</w:t>
    </w:r>
    <w:r w:rsidR="00160CD4">
      <w:t xml:space="preserve"> </w:t>
    </w:r>
    <w:r w:rsidR="00F86050">
      <w:t>2021</w:t>
    </w:r>
    <w:r w:rsidR="00A96DBB">
      <w:tab/>
    </w:r>
    <w:r w:rsidR="00A96DBB">
      <w:tab/>
    </w:r>
    <w:r w:rsidR="00A96DBB" w:rsidRPr="00C80CDE">
      <w:t>doc.: IEEE 802.11-</w:t>
    </w:r>
    <w:r w:rsidR="00A96DBB">
      <w:t>21/</w:t>
    </w:r>
    <w:r>
      <w:t>1803</w:t>
    </w:r>
    <w:r w:rsidR="00EE3757">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37A4B"/>
    <w:multiLevelType w:val="hybridMultilevel"/>
    <w:tmpl w:val="BED0DAAC"/>
    <w:lvl w:ilvl="0" w:tplc="5ACE15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2"/>
  </w:num>
  <w:num w:numId="5">
    <w:abstractNumId w:val="24"/>
  </w:num>
  <w:num w:numId="6">
    <w:abstractNumId w:val="1"/>
  </w:num>
  <w:num w:numId="7">
    <w:abstractNumId w:val="2"/>
  </w:num>
  <w:num w:numId="8">
    <w:abstractNumId w:val="2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8"/>
  </w:num>
  <w:num w:numId="12">
    <w:abstractNumId w:val="11"/>
  </w:num>
  <w:num w:numId="13">
    <w:abstractNumId w:val="33"/>
  </w:num>
  <w:num w:numId="14">
    <w:abstractNumId w:val="5"/>
  </w:num>
  <w:num w:numId="15">
    <w:abstractNumId w:val="27"/>
  </w:num>
  <w:num w:numId="16">
    <w:abstractNumId w:val="30"/>
  </w:num>
  <w:num w:numId="17">
    <w:abstractNumId w:val="7"/>
  </w:num>
  <w:num w:numId="18">
    <w:abstractNumId w:val="4"/>
  </w:num>
  <w:num w:numId="19">
    <w:abstractNumId w:val="12"/>
  </w:num>
  <w:num w:numId="20">
    <w:abstractNumId w:val="6"/>
  </w:num>
  <w:num w:numId="21">
    <w:abstractNumId w:val="22"/>
  </w:num>
  <w:num w:numId="22">
    <w:abstractNumId w:val="26"/>
  </w:num>
  <w:num w:numId="23">
    <w:abstractNumId w:val="10"/>
  </w:num>
  <w:num w:numId="24">
    <w:abstractNumId w:val="3"/>
  </w:num>
  <w:num w:numId="25">
    <w:abstractNumId w:val="19"/>
  </w:num>
  <w:num w:numId="26">
    <w:abstractNumId w:val="9"/>
  </w:num>
  <w:num w:numId="27">
    <w:abstractNumId w:val="25"/>
  </w:num>
  <w:num w:numId="28">
    <w:abstractNumId w:val="15"/>
  </w:num>
  <w:num w:numId="29">
    <w:abstractNumId w:val="31"/>
  </w:num>
  <w:num w:numId="30">
    <w:abstractNumId w:val="8"/>
  </w:num>
  <w:num w:numId="31">
    <w:abstractNumId w:val="14"/>
  </w:num>
  <w:num w:numId="32">
    <w:abstractNumId w:val="21"/>
  </w:num>
  <w:num w:numId="33">
    <w:abstractNumId w:val="20"/>
  </w:num>
  <w:num w:numId="34">
    <w:abstractNumId w:val="29"/>
  </w:num>
  <w:num w:numId="35">
    <w:abstractNumId w:val="1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296C"/>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24EB"/>
    <w:rsid w:val="00184899"/>
    <w:rsid w:val="00184C82"/>
    <w:rsid w:val="001869A0"/>
    <w:rsid w:val="0019074C"/>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4F45"/>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2DBB"/>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6A5"/>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978B8"/>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4E47"/>
    <w:rsid w:val="003B59FC"/>
    <w:rsid w:val="003B6407"/>
    <w:rsid w:val="003B6E8A"/>
    <w:rsid w:val="003B6F0A"/>
    <w:rsid w:val="003B6FD9"/>
    <w:rsid w:val="003B7F20"/>
    <w:rsid w:val="003C0173"/>
    <w:rsid w:val="003C0A0B"/>
    <w:rsid w:val="003C1429"/>
    <w:rsid w:val="003C1BB0"/>
    <w:rsid w:val="003C1D69"/>
    <w:rsid w:val="003C238C"/>
    <w:rsid w:val="003C30FE"/>
    <w:rsid w:val="003C4EA1"/>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EE7"/>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2CB9"/>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58EE"/>
    <w:rsid w:val="006A762F"/>
    <w:rsid w:val="006A7827"/>
    <w:rsid w:val="006A7829"/>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71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2751"/>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3B6"/>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1EB8"/>
    <w:rsid w:val="00932686"/>
    <w:rsid w:val="00933191"/>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2FC"/>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75F"/>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7"/>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6E27"/>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3B5"/>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5E33"/>
    <w:rsid w:val="00DB6056"/>
    <w:rsid w:val="00DB74C4"/>
    <w:rsid w:val="00DC0AE2"/>
    <w:rsid w:val="00DC1239"/>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B6A"/>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0E"/>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04B3"/>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HTMLPreformatted">
    <w:name w:val="HTML Preformatted"/>
    <w:basedOn w:val="Normal"/>
    <w:link w:val="HTMLPreformattedChar"/>
    <w:uiPriority w:val="99"/>
    <w:unhideWhenUsed/>
    <w:rsid w:val="00B1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173D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1005869">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0039676">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commscop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Ruckus/CommScope</Company>
  <LinksUpToDate>false</LinksUpToDate>
  <CharactersWithSpaces>4133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802.11-21/1803</dc:title>
  <dc:subject>Submission</dc:subject>
  <dc:creator>Menzo Wentink</dc:creator>
  <cp:keywords>November 2021</cp:keywords>
  <dc:description>Mark Hamilton, Ruckus/CommScope</dc:description>
  <cp:lastModifiedBy>Hamilton, Mark</cp:lastModifiedBy>
  <cp:revision>7</cp:revision>
  <cp:lastPrinted>2020-01-24T21:45:00Z</cp:lastPrinted>
  <dcterms:created xsi:type="dcterms:W3CDTF">2021-11-08T00:54:00Z</dcterms:created>
  <dcterms:modified xsi:type="dcterms:W3CDTF">2021-11-08T02:21:00Z</dcterms:modified>
  <cp:category/>
</cp:coreProperties>
</file>