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172128">
              <w:t>4</w:t>
            </w:r>
            <w:r w:rsidRPr="00F57FD7">
              <w:t xml:space="preserve"> C</w:t>
            </w:r>
            <w:r w:rsidR="00847C90">
              <w:t xml:space="preserve">omment </w:t>
            </w:r>
            <w:r w:rsidRPr="00F57FD7">
              <w:t>R</w:t>
            </w:r>
            <w:r w:rsidR="00847C90">
              <w:t>esolution for 11bd D</w:t>
            </w:r>
            <w:r w:rsidR="00E76F61">
              <w:t>2</w:t>
            </w:r>
            <w:r w:rsidR="00847C90">
              <w:t>.0</w:t>
            </w:r>
            <w:r w:rsidRPr="00F57FD7">
              <w:t xml:space="preserve"> Clause </w:t>
            </w:r>
            <w:r w:rsidR="00CA6EB6">
              <w:t>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B406D3">
              <w:rPr>
                <w:b w:val="0"/>
                <w:sz w:val="20"/>
              </w:rPr>
              <w:t>11</w:t>
            </w:r>
            <w:r>
              <w:rPr>
                <w:b w:val="0"/>
                <w:sz w:val="20"/>
              </w:rPr>
              <w:t>-</w:t>
            </w:r>
            <w:r w:rsidR="00B406D3">
              <w:rPr>
                <w:b w:val="0"/>
                <w:sz w:val="20"/>
              </w:rPr>
              <w:t>0</w:t>
            </w:r>
            <w:r w:rsidR="00EC6106">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017341">
                              <w:t>9</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Pr="00964DB2">
                              <w:t>:</w:t>
                            </w:r>
                            <w:r w:rsidR="003468D4" w:rsidRPr="00964DB2">
                              <w:t xml:space="preserve"> </w:t>
                            </w:r>
                            <w:r w:rsidR="003D139E" w:rsidRPr="00964DB2">
                              <w:t>2051, 2053, 2078, 2128, 2223, 2230, 2238, 2240, 2259</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B20382">
                              <w:t>1</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EC6106" w:rsidRDefault="00EC6106" w:rsidP="00F57FD7">
                            <w:pPr>
                              <w:pStyle w:val="ListParagraph"/>
                              <w:numPr>
                                <w:ilvl w:val="0"/>
                                <w:numId w:val="1"/>
                              </w:numPr>
                              <w:jc w:val="both"/>
                            </w:pPr>
                            <w:r>
                              <w:t>Rev 1: CIDs 2078 and 2051 corrected reference to P20L46-L49</w:t>
                            </w:r>
                          </w:p>
                          <w:p w:rsidR="003D288A" w:rsidRDefault="003D288A" w:rsidP="00F57FD7">
                            <w:pPr>
                              <w:pStyle w:val="ListParagraph"/>
                              <w:numPr>
                                <w:ilvl w:val="0"/>
                                <w:numId w:val="1"/>
                              </w:numPr>
                              <w:jc w:val="both"/>
                            </w:pPr>
                            <w:r>
                              <w:t>Rev 2: Revised CID 22</w:t>
                            </w:r>
                            <w:bookmarkStart w:id="0" w:name="_GoBack"/>
                            <w:bookmarkEnd w:id="0"/>
                            <w:r>
                              <w:t>40 after discussion</w:t>
                            </w:r>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017341">
                        <w:t>9</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Pr="00964DB2">
                        <w:t>:</w:t>
                      </w:r>
                      <w:r w:rsidR="003468D4" w:rsidRPr="00964DB2">
                        <w:t xml:space="preserve"> </w:t>
                      </w:r>
                      <w:r w:rsidR="003D139E" w:rsidRPr="00964DB2">
                        <w:t>2051, 2053, 2078, 2128, 2223, 2230, 2238, 2240, 2259</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B20382">
                        <w:t>1</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EC6106" w:rsidRDefault="00EC6106" w:rsidP="00F57FD7">
                      <w:pPr>
                        <w:pStyle w:val="ListParagraph"/>
                        <w:numPr>
                          <w:ilvl w:val="0"/>
                          <w:numId w:val="1"/>
                        </w:numPr>
                        <w:jc w:val="both"/>
                      </w:pPr>
                      <w:r>
                        <w:t>Rev 1: CIDs 2078 and 2051 corrected reference to P20L46-L49</w:t>
                      </w:r>
                    </w:p>
                    <w:p w:rsidR="003D288A" w:rsidRDefault="003D288A" w:rsidP="00F57FD7">
                      <w:pPr>
                        <w:pStyle w:val="ListParagraph"/>
                        <w:numPr>
                          <w:ilvl w:val="0"/>
                          <w:numId w:val="1"/>
                        </w:numPr>
                        <w:jc w:val="both"/>
                      </w:pPr>
                      <w:r>
                        <w:t>Rev 2: Revised CID 22</w:t>
                      </w:r>
                      <w:bookmarkStart w:id="1" w:name="_GoBack"/>
                      <w:bookmarkEnd w:id="1"/>
                      <w:r>
                        <w:t>40 after discussion</w:t>
                      </w:r>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41"/>
        <w:gridCol w:w="2071"/>
        <w:gridCol w:w="2243"/>
        <w:gridCol w:w="3810"/>
      </w:tblGrid>
      <w:tr w:rsidR="00DA4975" w:rsidRPr="00F33A98" w:rsidTr="00017341">
        <w:trPr>
          <w:trHeight w:val="283"/>
        </w:trPr>
        <w:tc>
          <w:tcPr>
            <w:tcW w:w="313" w:type="pct"/>
            <w:shd w:val="clear" w:color="auto" w:fill="auto"/>
            <w:noWrap/>
            <w:vAlign w:val="center"/>
            <w:hideMark/>
          </w:tcPr>
          <w:p w:rsidR="00DA4975" w:rsidRPr="00964DB2" w:rsidRDefault="00DA4975" w:rsidP="00C344FC">
            <w:pPr>
              <w:jc w:val="center"/>
              <w:rPr>
                <w:b/>
                <w:bCs/>
                <w:color w:val="000000"/>
                <w:sz w:val="20"/>
                <w:lang w:val="en-US"/>
              </w:rPr>
            </w:pPr>
            <w:r w:rsidRPr="00964DB2">
              <w:rPr>
                <w:b/>
                <w:bCs/>
                <w:color w:val="000000"/>
                <w:sz w:val="20"/>
                <w:lang w:val="en-US"/>
              </w:rPr>
              <w:t>CID</w:t>
            </w:r>
          </w:p>
        </w:tc>
        <w:tc>
          <w:tcPr>
            <w:tcW w:w="343"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292"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384"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68"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391EBA" w:rsidTr="00017341">
        <w:tblPrEx>
          <w:tblCellMar>
            <w:left w:w="70" w:type="dxa"/>
            <w:right w:w="70" w:type="dxa"/>
          </w:tblCellMar>
        </w:tblPrEx>
        <w:trPr>
          <w:trHeight w:val="283"/>
        </w:trPr>
        <w:tc>
          <w:tcPr>
            <w:tcW w:w="313" w:type="pct"/>
            <w:tcBorders>
              <w:top w:val="single" w:sz="4" w:space="0" w:color="333300"/>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2238</w:t>
            </w:r>
          </w:p>
        </w:tc>
        <w:tc>
          <w:tcPr>
            <w:tcW w:w="343" w:type="pct"/>
            <w:tcBorders>
              <w:top w:val="single" w:sz="4" w:space="0" w:color="333300"/>
              <w:left w:val="nil"/>
              <w:bottom w:val="single" w:sz="4" w:space="0" w:color="auto"/>
              <w:right w:val="single" w:sz="4" w:space="0" w:color="333300"/>
            </w:tcBorders>
            <w:shd w:val="clear" w:color="auto" w:fill="auto"/>
          </w:tcPr>
          <w:p w:rsidR="00391EBA" w:rsidRPr="00CD1F4B" w:rsidRDefault="00391EBA" w:rsidP="00391EBA">
            <w:pPr>
              <w:rPr>
                <w:rFonts w:ascii="Arial" w:hAnsi="Arial" w:cs="Arial"/>
                <w:sz w:val="20"/>
                <w:highlight w:val="yellow"/>
              </w:rPr>
            </w:pPr>
            <w:r w:rsidRPr="004B51B8">
              <w:rPr>
                <w:rFonts w:ascii="Arial" w:hAnsi="Arial" w:cs="Arial"/>
                <w:sz w:val="20"/>
              </w:rPr>
              <w:t>19.14</w:t>
            </w:r>
          </w:p>
        </w:tc>
        <w:tc>
          <w:tcPr>
            <w:tcW w:w="1292" w:type="pct"/>
            <w:tcBorders>
              <w:top w:val="single" w:sz="4" w:space="0" w:color="333300"/>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definition of an NGV STA in the first two paragraphs of this clause needs some improvement:</w:t>
            </w:r>
            <w:r>
              <w:rPr>
                <w:rFonts w:ascii="Arial" w:hAnsi="Arial" w:cs="Arial"/>
                <w:sz w:val="20"/>
              </w:rPr>
              <w:br/>
              <w:t>- it requires that a 60 GHz NGV STA also support 5.9 GHz. I think it is unrealistic to expect a single STA to support both bands, and it is not what the PAR requires.</w:t>
            </w:r>
            <w:r>
              <w:rPr>
                <w:rFonts w:ascii="Arial" w:hAnsi="Arial" w:cs="Arial"/>
                <w:sz w:val="20"/>
              </w:rPr>
              <w:br/>
              <w:t>- The first sentence is too long. It should be divided into multiple sentences for clarity.</w:t>
            </w:r>
            <w:r>
              <w:rPr>
                <w:rFonts w:ascii="Arial" w:hAnsi="Arial" w:cs="Arial"/>
                <w:sz w:val="20"/>
              </w:rPr>
              <w:br/>
            </w:r>
            <w:r w:rsidRPr="004B51B8">
              <w:rPr>
                <w:rFonts w:ascii="Arial" w:hAnsi="Arial" w:cs="Arial"/>
                <w:sz w:val="20"/>
              </w:rPr>
              <w:t>- Clarity can be added about the fact that the double throughput and lower sensitivity need not be supported simultaneously.</w:t>
            </w:r>
            <w:r>
              <w:rPr>
                <w:rFonts w:ascii="Arial" w:hAnsi="Arial" w:cs="Arial"/>
                <w:sz w:val="20"/>
              </w:rPr>
              <w:br/>
              <w:t>- There are a couple of editorial improvements.  a) The name of the STA type is "NGV STA" not "Enhancements for NGV STA".  b) it is preferred to replace "operating OCB" with "communicating OCB".  This latter editorial improvement also applies to the 4th paragraph of the clause.</w:t>
            </w:r>
          </w:p>
        </w:tc>
        <w:tc>
          <w:tcPr>
            <w:tcW w:w="1384" w:type="pct"/>
            <w:tcBorders>
              <w:top w:val="single" w:sz="4" w:space="0" w:color="333300"/>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Replace the first and second paragraphs of the clause with this text:</w:t>
            </w:r>
            <w:r>
              <w:rPr>
                <w:rFonts w:ascii="Arial" w:hAnsi="Arial" w:cs="Arial"/>
                <w:sz w:val="20"/>
              </w:rPr>
              <w:br/>
              <w:t xml:space="preserve">"The IEEE 802.11 Next Generation V2X (NGV) STA is a STA that provides MAC and PHY features as defined in Clause 31 (Next Generation V2X (NGV) MAC specification) and Clause 32 (Next Generation V2X (NGV) PHY specification). The NGV STA communicates outside the context of a BSS in the 5.9 GHz band and/or in the 60 GHz band. </w:t>
            </w:r>
            <w:r w:rsidRPr="004B51B8">
              <w:rPr>
                <w:rFonts w:ascii="Arial" w:hAnsi="Arial" w:cs="Arial"/>
                <w:sz w:val="20"/>
              </w:rPr>
              <w:t>When communicating in the 5.9 GHz band, it can support at least twice the throughput and at least 3 dB lower sensitivity compared to a non-NGV STA. The double throughput characteristic is compared to the 12.0 Mb/s maximum mandatory data rate for non-NGV STAs communicating OCB in 10 MHz channels in the 5.9 GHz band. The double throughput and lower sensitivity characteristics might be supported in separate modes of communication, and not simultaneously.</w:t>
            </w:r>
            <w:r>
              <w:rPr>
                <w:rFonts w:ascii="Arial" w:hAnsi="Arial" w:cs="Arial"/>
                <w:sz w:val="20"/>
              </w:rPr>
              <w:t xml:space="preserve"> The US 5.9 GHz band is defined in Clause E.2.3 and the European 5.9 GHz band is defined in Clause E.2.4. The 60 GHz band is defined in Clause E.1"</w:t>
            </w:r>
            <w:r>
              <w:rPr>
                <w:rFonts w:ascii="Arial" w:hAnsi="Arial" w:cs="Arial"/>
                <w:sz w:val="20"/>
              </w:rPr>
              <w:br/>
            </w:r>
            <w:r>
              <w:rPr>
                <w:rFonts w:ascii="Arial" w:hAnsi="Arial" w:cs="Arial"/>
                <w:sz w:val="20"/>
              </w:rPr>
              <w:lastRenderedPageBreak/>
              <w:t>In the fourth paragraph of this clause, change "operating OCB" to "communicating OCB".</w:t>
            </w:r>
          </w:p>
        </w:tc>
        <w:tc>
          <w:tcPr>
            <w:tcW w:w="1668" w:type="pct"/>
          </w:tcPr>
          <w:p w:rsidR="00391EBA" w:rsidRDefault="003C6038" w:rsidP="00391EBA">
            <w:pPr>
              <w:rPr>
                <w:rFonts w:ascii="Arial" w:hAnsi="Arial" w:cs="Arial"/>
                <w:sz w:val="20"/>
              </w:rPr>
            </w:pPr>
            <w:r>
              <w:rPr>
                <w:rFonts w:ascii="Arial" w:hAnsi="Arial" w:cs="Arial"/>
                <w:sz w:val="20"/>
              </w:rPr>
              <w:lastRenderedPageBreak/>
              <w:t>Revised</w:t>
            </w:r>
          </w:p>
          <w:p w:rsidR="00DC381E" w:rsidRDefault="00DC381E" w:rsidP="00391EBA">
            <w:pPr>
              <w:rPr>
                <w:rFonts w:ascii="Arial" w:hAnsi="Arial" w:cs="Arial"/>
                <w:sz w:val="20"/>
              </w:rPr>
            </w:pPr>
          </w:p>
          <w:p w:rsidR="000466C5" w:rsidRDefault="00B87DED" w:rsidP="00391EBA">
            <w:pPr>
              <w:rPr>
                <w:rFonts w:ascii="Arial" w:hAnsi="Arial" w:cs="Arial"/>
                <w:sz w:val="20"/>
              </w:rPr>
            </w:pPr>
            <w:r>
              <w:rPr>
                <w:rFonts w:ascii="Arial" w:hAnsi="Arial" w:cs="Arial"/>
                <w:sz w:val="20"/>
              </w:rPr>
              <w:t>R</w:t>
            </w:r>
            <w:r w:rsidR="000466C5">
              <w:rPr>
                <w:rFonts w:ascii="Arial" w:hAnsi="Arial" w:cs="Arial"/>
                <w:sz w:val="20"/>
              </w:rPr>
              <w:t xml:space="preserve">esolutions to CIDs 2062 and 2065 changed the definitions for 60 GHz operation (see </w:t>
            </w:r>
            <w:hyperlink r:id="rId8" w:history="1">
              <w:r w:rsidR="000466C5" w:rsidRPr="007045D5">
                <w:rPr>
                  <w:rStyle w:val="Hyperlink"/>
                  <w:rFonts w:ascii="Arial" w:hAnsi="Arial" w:cs="Arial"/>
                  <w:sz w:val="20"/>
                </w:rPr>
                <w:t>https://mentor.ieee.org/802.11/dcn/21/11-21-1481-02-00bd-d2-0-cr-clause-4-related-to-ngv-sta-definition-and-60-ghz-operation.docx</w:t>
              </w:r>
            </w:hyperlink>
            <w:r w:rsidR="000466C5">
              <w:rPr>
                <w:rFonts w:ascii="Arial" w:hAnsi="Arial" w:cs="Arial"/>
                <w:sz w:val="20"/>
              </w:rPr>
              <w:t>). Now a DMG STA communicating OCB operates in the 60 GHz band and can be co-located with an NGV STA operating in the 5.9 GHz band.</w:t>
            </w:r>
          </w:p>
          <w:p w:rsidR="000466C5" w:rsidRDefault="000466C5" w:rsidP="00391EBA">
            <w:pPr>
              <w:rPr>
                <w:rFonts w:ascii="Arial" w:hAnsi="Arial" w:cs="Arial"/>
                <w:sz w:val="20"/>
              </w:rPr>
            </w:pPr>
          </w:p>
          <w:p w:rsidR="004F17F0" w:rsidRDefault="000466C5" w:rsidP="00391EBA">
            <w:pPr>
              <w:rPr>
                <w:rFonts w:ascii="Arial" w:hAnsi="Arial" w:cs="Arial"/>
                <w:sz w:val="20"/>
              </w:rPr>
            </w:pPr>
            <w:r>
              <w:rPr>
                <w:rFonts w:ascii="Arial" w:hAnsi="Arial" w:cs="Arial"/>
                <w:sz w:val="20"/>
              </w:rPr>
              <w:t>Agree with comment that first sentence is too long. It has been rephrased and split into two sentences (</w:t>
            </w:r>
            <w:r w:rsidR="00E75C22">
              <w:rPr>
                <w:rFonts w:ascii="Arial" w:hAnsi="Arial" w:cs="Arial"/>
                <w:sz w:val="20"/>
              </w:rPr>
              <w:t>see also</w:t>
            </w:r>
            <w:r>
              <w:rPr>
                <w:rFonts w:ascii="Arial" w:hAnsi="Arial" w:cs="Arial"/>
                <w:sz w:val="20"/>
              </w:rPr>
              <w:t xml:space="preserve"> CID 2053).</w:t>
            </w:r>
          </w:p>
          <w:p w:rsidR="00DC381E" w:rsidRDefault="00DC381E" w:rsidP="00391EBA">
            <w:pPr>
              <w:rPr>
                <w:rFonts w:ascii="Arial" w:hAnsi="Arial" w:cs="Arial"/>
                <w:sz w:val="20"/>
              </w:rPr>
            </w:pPr>
          </w:p>
          <w:p w:rsidR="000466C5" w:rsidRDefault="004B51B8" w:rsidP="00391EBA">
            <w:pPr>
              <w:rPr>
                <w:rFonts w:ascii="Arial" w:hAnsi="Arial" w:cs="Arial"/>
                <w:sz w:val="20"/>
              </w:rPr>
            </w:pPr>
            <w:r>
              <w:rPr>
                <w:rFonts w:ascii="Arial" w:hAnsi="Arial" w:cs="Arial"/>
                <w:sz w:val="20"/>
              </w:rPr>
              <w:t>Agree with comment that clarity can be added that double throughput and higher receiver minimum input sensitivity might not be supported simultaneously.</w:t>
            </w:r>
          </w:p>
          <w:p w:rsidR="003D1C42" w:rsidRDefault="003D1C42" w:rsidP="00391EBA">
            <w:pPr>
              <w:rPr>
                <w:rFonts w:ascii="Arial" w:hAnsi="Arial" w:cs="Arial"/>
                <w:sz w:val="20"/>
              </w:rPr>
            </w:pPr>
          </w:p>
          <w:p w:rsidR="003D1C42" w:rsidRDefault="003D1C42" w:rsidP="00391EBA">
            <w:pPr>
              <w:rPr>
                <w:rFonts w:ascii="Arial" w:hAnsi="Arial" w:cs="Arial"/>
                <w:sz w:val="20"/>
              </w:rPr>
            </w:pPr>
            <w:r>
              <w:rPr>
                <w:rFonts w:ascii="Arial" w:hAnsi="Arial" w:cs="Arial"/>
                <w:sz w:val="20"/>
              </w:rPr>
              <w:t>Agree with the comment on editorial improvements</w:t>
            </w:r>
            <w:r w:rsidR="00DC1BE1">
              <w:rPr>
                <w:rFonts w:ascii="Arial" w:hAnsi="Arial" w:cs="Arial"/>
                <w:sz w:val="20"/>
              </w:rPr>
              <w:t xml:space="preserve"> (</w:t>
            </w:r>
            <w:r w:rsidR="00E75C22">
              <w:rPr>
                <w:rFonts w:ascii="Arial" w:hAnsi="Arial" w:cs="Arial"/>
                <w:sz w:val="20"/>
              </w:rPr>
              <w:t>see also</w:t>
            </w:r>
            <w:r w:rsidR="00DC1BE1">
              <w:rPr>
                <w:rFonts w:ascii="Arial" w:hAnsi="Arial" w:cs="Arial"/>
                <w:sz w:val="20"/>
              </w:rPr>
              <w:t xml:space="preserve"> CIDs 2052, 2053</w:t>
            </w:r>
            <w:r w:rsidR="007B39F7">
              <w:rPr>
                <w:rFonts w:ascii="Arial" w:hAnsi="Arial" w:cs="Arial"/>
                <w:sz w:val="20"/>
              </w:rPr>
              <w:t>, 2219</w:t>
            </w:r>
            <w:r w:rsidR="00DC1BE1">
              <w:rPr>
                <w:rFonts w:ascii="Arial" w:hAnsi="Arial" w:cs="Arial"/>
                <w:sz w:val="20"/>
              </w:rPr>
              <w:t xml:space="preserve"> and 22</w:t>
            </w:r>
            <w:r w:rsidR="007B39F7">
              <w:rPr>
                <w:rFonts w:ascii="Arial" w:hAnsi="Arial" w:cs="Arial"/>
                <w:sz w:val="20"/>
              </w:rPr>
              <w:t>20</w:t>
            </w:r>
            <w:r w:rsidR="00DC1BE1">
              <w:rPr>
                <w:rFonts w:ascii="Arial" w:hAnsi="Arial" w:cs="Arial"/>
                <w:sz w:val="20"/>
              </w:rPr>
              <w:t>)</w:t>
            </w:r>
            <w:r>
              <w:rPr>
                <w:rFonts w:ascii="Arial" w:hAnsi="Arial" w:cs="Arial"/>
                <w:sz w:val="20"/>
              </w:rPr>
              <w:t>.</w:t>
            </w:r>
          </w:p>
          <w:p w:rsidR="003D1C42" w:rsidRDefault="003D1C42" w:rsidP="00391EBA">
            <w:pPr>
              <w:rPr>
                <w:rFonts w:ascii="Arial" w:hAnsi="Arial" w:cs="Arial"/>
                <w:sz w:val="20"/>
              </w:rPr>
            </w:pPr>
          </w:p>
          <w:p w:rsidR="000466C5" w:rsidRPr="006277C2" w:rsidRDefault="000466C5" w:rsidP="000466C5">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0466C5" w:rsidRDefault="000466C5" w:rsidP="000466C5">
            <w:pPr>
              <w:rPr>
                <w:rFonts w:ascii="Arial" w:hAnsi="Arial" w:cs="Arial"/>
                <w:sz w:val="20"/>
              </w:rPr>
            </w:pPr>
            <w:r>
              <w:rPr>
                <w:rFonts w:ascii="Arial" w:hAnsi="Arial" w:cs="Arial"/>
                <w:sz w:val="20"/>
              </w:rPr>
              <w:t>Please change the first sentence as follows</w:t>
            </w:r>
            <w:r w:rsidR="00E75C22">
              <w:rPr>
                <w:rFonts w:ascii="Arial" w:hAnsi="Arial" w:cs="Arial"/>
                <w:sz w:val="20"/>
              </w:rPr>
              <w:t xml:space="preserve"> (see also CID 2053)</w:t>
            </w:r>
            <w:r>
              <w:rPr>
                <w:rFonts w:ascii="Arial" w:hAnsi="Arial" w:cs="Arial"/>
                <w:sz w:val="20"/>
              </w:rPr>
              <w:t>:</w:t>
            </w:r>
          </w:p>
          <w:p w:rsidR="000466C5" w:rsidRDefault="000466C5" w:rsidP="000466C5">
            <w:pPr>
              <w:rPr>
                <w:rFonts w:ascii="Arial" w:hAnsi="Arial" w:cs="Arial"/>
                <w:sz w:val="20"/>
              </w:rPr>
            </w:pPr>
          </w:p>
          <w:p w:rsidR="000466C5" w:rsidRPr="00641614" w:rsidRDefault="000466C5" w:rsidP="00391EBA">
            <w:pPr>
              <w:rPr>
                <w:rFonts w:ascii="Arial" w:hAnsi="Arial" w:cs="Arial"/>
                <w:sz w:val="20"/>
              </w:rPr>
            </w:pPr>
            <w:r w:rsidRPr="00FC6EE0">
              <w:rPr>
                <w:rFonts w:ascii="Arial" w:hAnsi="Arial" w:cs="Arial"/>
                <w:sz w:val="20"/>
              </w:rPr>
              <w:t>A</w:t>
            </w:r>
            <w:r>
              <w:rPr>
                <w:rFonts w:ascii="Arial" w:hAnsi="Arial" w:cs="Arial"/>
                <w:sz w:val="20"/>
              </w:rPr>
              <w:t>n</w:t>
            </w:r>
            <w:r w:rsidRPr="00FC6EE0">
              <w:rPr>
                <w:rFonts w:ascii="Arial" w:hAnsi="Arial" w:cs="Arial"/>
                <w:sz w:val="20"/>
              </w:rPr>
              <w:t xml:space="preserve"> NGV STA provides MAC and PHY features as defined in Clause 31 (Next Generation V2X (NGV) MAC specification) and Clause 32 (Next Generation V2X (NGV) PHY specification)</w:t>
            </w:r>
            <w:r>
              <w:rPr>
                <w:rFonts w:ascii="Arial" w:hAnsi="Arial" w:cs="Arial"/>
                <w:sz w:val="20"/>
              </w:rPr>
              <w:t>. An NGV STA</w:t>
            </w:r>
            <w:r w:rsidRPr="00FC6EE0">
              <w:rPr>
                <w:rFonts w:ascii="Arial" w:hAnsi="Arial" w:cs="Arial"/>
                <w:sz w:val="20"/>
              </w:rPr>
              <w:t xml:space="preserve"> </w:t>
            </w:r>
            <w:r>
              <w:rPr>
                <w:rFonts w:ascii="Arial" w:hAnsi="Arial" w:cs="Arial"/>
                <w:sz w:val="20"/>
              </w:rPr>
              <w:t xml:space="preserve">supports </w:t>
            </w:r>
            <w:r w:rsidRPr="00FC6EE0">
              <w:rPr>
                <w:rFonts w:ascii="Arial" w:hAnsi="Arial" w:cs="Arial"/>
                <w:sz w:val="20"/>
              </w:rPr>
              <w:t xml:space="preserve">at least twice the throughput and at least 3 dB </w:t>
            </w:r>
            <w:r>
              <w:rPr>
                <w:rFonts w:ascii="Arial" w:hAnsi="Arial" w:cs="Arial"/>
                <w:sz w:val="20"/>
              </w:rPr>
              <w:t xml:space="preserve">better </w:t>
            </w:r>
            <w:r w:rsidR="004B51B8">
              <w:rPr>
                <w:rFonts w:ascii="Arial" w:hAnsi="Arial" w:cs="Arial"/>
                <w:sz w:val="20"/>
              </w:rPr>
              <w:t xml:space="preserve">receiver minimum input sensitivity </w:t>
            </w:r>
            <w:r>
              <w:rPr>
                <w:rFonts w:ascii="Arial" w:hAnsi="Arial" w:cs="Arial"/>
                <w:sz w:val="20"/>
              </w:rPr>
              <w:t xml:space="preserve">than a non-NGV STA </w:t>
            </w:r>
            <w:r w:rsidRPr="00FC6EE0">
              <w:rPr>
                <w:rFonts w:ascii="Arial" w:hAnsi="Arial" w:cs="Arial"/>
                <w:sz w:val="20"/>
              </w:rPr>
              <w:t xml:space="preserve">when communicating OCB in high mobility channel environments in the 5.9 GHz band, as defined in </w:t>
            </w:r>
            <w:r>
              <w:rPr>
                <w:rFonts w:ascii="Arial" w:hAnsi="Arial" w:cs="Arial"/>
                <w:sz w:val="20"/>
              </w:rPr>
              <w:t>sub</w:t>
            </w:r>
            <w:r w:rsidRPr="00FC6EE0">
              <w:rPr>
                <w:rFonts w:ascii="Arial" w:hAnsi="Arial" w:cs="Arial"/>
                <w:sz w:val="20"/>
              </w:rPr>
              <w:t>clauses E.2.3 (5.9 GHz band in the United States (5.850- 5.925 GHz)) and E.2.4 (5.9 GHz band in Europe (5.855-5.925 GHz)).</w:t>
            </w:r>
            <w:r w:rsidR="004B51B8">
              <w:rPr>
                <w:rFonts w:ascii="Arial" w:hAnsi="Arial" w:cs="Arial"/>
                <w:sz w:val="20"/>
              </w:rPr>
              <w:t xml:space="preserve"> The double throughput and higher receiver minimum input sensitivity might not be supported simultaneously.</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2259</w:t>
            </w:r>
          </w:p>
        </w:tc>
        <w:tc>
          <w:tcPr>
            <w:tcW w:w="343" w:type="pct"/>
            <w:tcBorders>
              <w:top w:val="single" w:sz="4" w:space="0" w:color="auto"/>
              <w:left w:val="nil"/>
              <w:bottom w:val="single" w:sz="4" w:space="0" w:color="auto"/>
              <w:right w:val="single" w:sz="4" w:space="0" w:color="333300"/>
            </w:tcBorders>
            <w:shd w:val="clear" w:color="auto" w:fill="auto"/>
          </w:tcPr>
          <w:p w:rsidR="00391EBA" w:rsidRPr="002B588A" w:rsidRDefault="00391EBA" w:rsidP="00391EBA">
            <w:pPr>
              <w:rPr>
                <w:rFonts w:ascii="Arial" w:hAnsi="Arial" w:cs="Arial"/>
                <w:sz w:val="20"/>
              </w:rPr>
            </w:pPr>
            <w:r w:rsidRPr="002B588A">
              <w:rPr>
                <w:rFonts w:ascii="Arial" w:hAnsi="Arial" w:cs="Arial"/>
                <w:sz w:val="20"/>
              </w:rPr>
              <w:t>19.15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should be a clear requirement that an NGV STA sets dot11NGVActivated to true, and that a non-NGV STA does not set dot11NGVActivated to true.  Some actions are linked to NGV STAs, for example, using the Duration/ID field in 9.2.5.1.  Some actions are linked to dot11NGVActivated, for example including radio environment vectors in primitives.  In fact, there is no difference between an NGV STA and a STA for which dot11NGVActivated is true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At the end of the first paragraph of this clause insert: "An NGV STA shall set dot11NGVActivated to true. A non-NGV STA shall with the MIB attribute dot11NGVActivated shall set it to false. A STA whose MIB does not include the dot11NGVActivated attribute operates as if the attribute is false.</w:t>
            </w:r>
          </w:p>
        </w:tc>
        <w:tc>
          <w:tcPr>
            <w:tcW w:w="1668" w:type="pct"/>
          </w:tcPr>
          <w:p w:rsidR="00391EBA" w:rsidRDefault="002B588A" w:rsidP="00391EBA">
            <w:pPr>
              <w:rPr>
                <w:rFonts w:ascii="Arial" w:hAnsi="Arial" w:cs="Arial"/>
                <w:sz w:val="20"/>
              </w:rPr>
            </w:pPr>
            <w:r>
              <w:rPr>
                <w:rFonts w:ascii="Arial" w:hAnsi="Arial" w:cs="Arial"/>
                <w:sz w:val="20"/>
              </w:rPr>
              <w:t>Revised</w:t>
            </w:r>
          </w:p>
          <w:p w:rsidR="002B588A" w:rsidRDefault="002B588A" w:rsidP="00391EBA">
            <w:pPr>
              <w:rPr>
                <w:rFonts w:ascii="Arial" w:hAnsi="Arial" w:cs="Arial"/>
                <w:sz w:val="20"/>
              </w:rPr>
            </w:pPr>
          </w:p>
          <w:p w:rsidR="002B588A" w:rsidRDefault="002B588A" w:rsidP="00391EBA">
            <w:pPr>
              <w:rPr>
                <w:rFonts w:ascii="Arial" w:hAnsi="Arial" w:cs="Arial"/>
                <w:sz w:val="20"/>
              </w:rPr>
            </w:pPr>
            <w:r>
              <w:rPr>
                <w:rFonts w:ascii="Arial" w:hAnsi="Arial" w:cs="Arial"/>
                <w:sz w:val="20"/>
              </w:rPr>
              <w:t>Agree with comment.</w:t>
            </w:r>
          </w:p>
          <w:p w:rsidR="002B588A" w:rsidRDefault="002B588A" w:rsidP="00391EBA">
            <w:pPr>
              <w:rPr>
                <w:rFonts w:ascii="Arial" w:hAnsi="Arial" w:cs="Arial"/>
                <w:sz w:val="20"/>
              </w:rPr>
            </w:pPr>
          </w:p>
          <w:p w:rsidR="002B588A" w:rsidRPr="006277C2" w:rsidRDefault="002B588A" w:rsidP="002B588A">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2B588A" w:rsidRDefault="002B588A" w:rsidP="002B588A">
            <w:pPr>
              <w:rPr>
                <w:rFonts w:ascii="Arial" w:hAnsi="Arial" w:cs="Arial"/>
                <w:sz w:val="20"/>
              </w:rPr>
            </w:pPr>
            <w:r>
              <w:rPr>
                <w:rFonts w:ascii="Arial" w:hAnsi="Arial" w:cs="Arial"/>
                <w:sz w:val="20"/>
              </w:rPr>
              <w:t xml:space="preserve">Please </w:t>
            </w:r>
            <w:proofErr w:type="spellStart"/>
            <w:r>
              <w:rPr>
                <w:rFonts w:ascii="Arial" w:hAnsi="Arial" w:cs="Arial"/>
                <w:sz w:val="20"/>
              </w:rPr>
              <w:t>please</w:t>
            </w:r>
            <w:proofErr w:type="spellEnd"/>
            <w:r>
              <w:rPr>
                <w:rFonts w:ascii="Arial" w:hAnsi="Arial" w:cs="Arial"/>
                <w:sz w:val="20"/>
              </w:rPr>
              <w:t xml:space="preserve"> add the following sentences at the end of the first </w:t>
            </w:r>
            <w:proofErr w:type="spellStart"/>
            <w:r>
              <w:rPr>
                <w:rFonts w:ascii="Arial" w:hAnsi="Arial" w:cs="Arial"/>
                <w:sz w:val="20"/>
              </w:rPr>
              <w:t>pargraph</w:t>
            </w:r>
            <w:proofErr w:type="spellEnd"/>
            <w:r>
              <w:rPr>
                <w:rFonts w:ascii="Arial" w:hAnsi="Arial" w:cs="Arial"/>
                <w:sz w:val="20"/>
              </w:rPr>
              <w:t>:</w:t>
            </w:r>
          </w:p>
          <w:p w:rsidR="002B588A" w:rsidRPr="00641614" w:rsidRDefault="002B588A" w:rsidP="002B588A">
            <w:pPr>
              <w:rPr>
                <w:rFonts w:ascii="Arial" w:hAnsi="Arial" w:cs="Arial"/>
                <w:sz w:val="20"/>
              </w:rPr>
            </w:pPr>
            <w:r>
              <w:rPr>
                <w:rFonts w:ascii="Arial" w:hAnsi="Arial" w:cs="Arial"/>
                <w:sz w:val="20"/>
              </w:rPr>
              <w:t>An NGV STA shall set dot11NGVActivated to true. A non-NGV STA with the MIB attribute dot11NGVActivated shall set the attribute to false. A STA whose MIB does not include the dot11NGVActivated attribute operates as if the attribute is false.</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2053</w:t>
            </w:r>
          </w:p>
        </w:tc>
        <w:tc>
          <w:tcPr>
            <w:tcW w:w="343" w:type="pct"/>
            <w:tcBorders>
              <w:top w:val="single" w:sz="4" w:space="0" w:color="auto"/>
              <w:left w:val="nil"/>
              <w:bottom w:val="single" w:sz="4" w:space="0" w:color="auto"/>
              <w:right w:val="single" w:sz="4" w:space="0" w:color="333300"/>
            </w:tcBorders>
            <w:shd w:val="clear" w:color="auto" w:fill="auto"/>
          </w:tcPr>
          <w:p w:rsidR="00391EBA" w:rsidRPr="003C6038" w:rsidRDefault="00391EBA" w:rsidP="00391EBA">
            <w:pPr>
              <w:rPr>
                <w:rFonts w:ascii="Arial" w:hAnsi="Arial" w:cs="Arial"/>
                <w:sz w:val="20"/>
                <w:highlight w:val="yellow"/>
              </w:rPr>
            </w:pPr>
            <w:r w:rsidRPr="00E1652A">
              <w:rPr>
                <w:rFonts w:ascii="Arial" w:hAnsi="Arial" w:cs="Arial"/>
                <w:sz w:val="20"/>
              </w:rPr>
              <w:t>19.17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Lower </w:t>
            </w:r>
            <w:proofErr w:type="spellStart"/>
            <w:r>
              <w:rPr>
                <w:rFonts w:ascii="Arial" w:hAnsi="Arial" w:cs="Arial"/>
                <w:sz w:val="20"/>
              </w:rPr>
              <w:t>sensitivy</w:t>
            </w:r>
            <w:proofErr w:type="spellEnd"/>
            <w:r>
              <w:rPr>
                <w:rFonts w:ascii="Arial" w:hAnsi="Arial" w:cs="Arial"/>
                <w:sz w:val="20"/>
              </w:rPr>
              <w:t xml:space="preserve"> is probably inaccurate. The number that represents the sensitivity is lower (more negative) but the </w:t>
            </w:r>
            <w:proofErr w:type="spellStart"/>
            <w:r>
              <w:rPr>
                <w:rFonts w:ascii="Arial" w:hAnsi="Arial" w:cs="Arial"/>
                <w:sz w:val="20"/>
              </w:rPr>
              <w:t>sensitivty</w:t>
            </w:r>
            <w:proofErr w:type="spellEnd"/>
            <w:r>
              <w:rPr>
                <w:rFonts w:ascii="Arial" w:hAnsi="Arial" w:cs="Arial"/>
                <w:sz w:val="20"/>
              </w:rPr>
              <w:t xml:space="preserve"> is higher (more sensitive). Also, specific implementations vary and it might be that a non-NGV STA implementation is more sensitive than an NGV STA implementation. What this really refers to is the minimum sensitivity required to be compliant. This applies </w:t>
            </w:r>
            <w:proofErr w:type="gramStart"/>
            <w:r>
              <w:rPr>
                <w:rFonts w:ascii="Arial" w:hAnsi="Arial" w:cs="Arial"/>
                <w:sz w:val="20"/>
              </w:rPr>
              <w:t>to  "</w:t>
            </w:r>
            <w:proofErr w:type="gramEnd"/>
            <w:r>
              <w:rPr>
                <w:rFonts w:ascii="Arial" w:hAnsi="Arial" w:cs="Arial"/>
                <w:sz w:val="20"/>
              </w:rPr>
              <w:t xml:space="preserve">at least twice the throughput" as well; </w:t>
            </w:r>
            <w:proofErr w:type="spellStart"/>
            <w:r>
              <w:rPr>
                <w:rFonts w:ascii="Arial" w:hAnsi="Arial" w:cs="Arial"/>
                <w:sz w:val="20"/>
              </w:rPr>
              <w:t>implemtantions</w:t>
            </w:r>
            <w:proofErr w:type="spellEnd"/>
            <w:r>
              <w:rPr>
                <w:rFonts w:ascii="Arial" w:hAnsi="Arial" w:cs="Arial"/>
                <w:sz w:val="20"/>
              </w:rPr>
              <w:t xml:space="preserve"> vary.</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the first sentence so that it reads "An IEEE 802.11 NGV STA provides MAC and PHY features defined in .... that provide modes of operation with at least twice the throughput and a minimum receive sensitivity that is 3 dB better than a non-NGV STA operating OCB."</w:t>
            </w:r>
          </w:p>
        </w:tc>
        <w:tc>
          <w:tcPr>
            <w:tcW w:w="1668" w:type="pct"/>
          </w:tcPr>
          <w:p w:rsidR="00391EBA" w:rsidRDefault="00CD1F4B" w:rsidP="00391EBA">
            <w:pPr>
              <w:rPr>
                <w:rFonts w:ascii="Arial" w:hAnsi="Arial" w:cs="Arial"/>
                <w:sz w:val="20"/>
              </w:rPr>
            </w:pPr>
            <w:r>
              <w:rPr>
                <w:rFonts w:ascii="Arial" w:hAnsi="Arial" w:cs="Arial"/>
                <w:sz w:val="20"/>
              </w:rPr>
              <w:t>Revised</w:t>
            </w:r>
          </w:p>
          <w:p w:rsidR="00FC6EE0" w:rsidRDefault="00FC6EE0" w:rsidP="00391EBA">
            <w:pPr>
              <w:rPr>
                <w:rFonts w:ascii="Arial" w:hAnsi="Arial" w:cs="Arial"/>
                <w:sz w:val="20"/>
              </w:rPr>
            </w:pPr>
          </w:p>
          <w:p w:rsidR="00FC6EE0" w:rsidRDefault="00FC6EE0" w:rsidP="00391EBA">
            <w:pPr>
              <w:rPr>
                <w:rFonts w:ascii="Arial" w:hAnsi="Arial" w:cs="Arial"/>
                <w:sz w:val="20"/>
              </w:rPr>
            </w:pPr>
            <w:r>
              <w:rPr>
                <w:rFonts w:ascii="Arial" w:hAnsi="Arial" w:cs="Arial"/>
                <w:sz w:val="20"/>
              </w:rPr>
              <w:t>Agree with comment.</w:t>
            </w:r>
          </w:p>
          <w:p w:rsidR="007B39F7" w:rsidRDefault="007B39F7" w:rsidP="00391EBA">
            <w:pPr>
              <w:rPr>
                <w:rFonts w:ascii="Arial" w:hAnsi="Arial" w:cs="Arial"/>
                <w:sz w:val="20"/>
              </w:rPr>
            </w:pPr>
            <w:r>
              <w:rPr>
                <w:rFonts w:ascii="Arial" w:hAnsi="Arial" w:cs="Arial"/>
                <w:sz w:val="20"/>
              </w:rPr>
              <w:t>As several changes have been agreed in CIDs 2052, 2219 and 2220 and CID 2238 requires further changes the paragraph is rephrased as below.</w:t>
            </w:r>
          </w:p>
          <w:p w:rsidR="00FC6EE0" w:rsidRDefault="00FC6EE0" w:rsidP="00391EBA">
            <w:pPr>
              <w:rPr>
                <w:rFonts w:ascii="Arial" w:hAnsi="Arial" w:cs="Arial"/>
                <w:sz w:val="20"/>
              </w:rPr>
            </w:pPr>
          </w:p>
          <w:p w:rsidR="00FC6EE0" w:rsidRPr="006277C2" w:rsidRDefault="00FC6EE0" w:rsidP="00FC6EE0">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FC6EE0" w:rsidRDefault="00FC6EE0" w:rsidP="00FC6EE0">
            <w:pPr>
              <w:rPr>
                <w:rFonts w:ascii="Arial" w:hAnsi="Arial" w:cs="Arial"/>
                <w:sz w:val="20"/>
              </w:rPr>
            </w:pPr>
            <w:r>
              <w:rPr>
                <w:rFonts w:ascii="Arial" w:hAnsi="Arial" w:cs="Arial"/>
                <w:sz w:val="20"/>
              </w:rPr>
              <w:t>Please change the first sen</w:t>
            </w:r>
            <w:r w:rsidR="000466C5">
              <w:rPr>
                <w:rFonts w:ascii="Arial" w:hAnsi="Arial" w:cs="Arial"/>
                <w:sz w:val="20"/>
              </w:rPr>
              <w:t>t</w:t>
            </w:r>
            <w:r>
              <w:rPr>
                <w:rFonts w:ascii="Arial" w:hAnsi="Arial" w:cs="Arial"/>
                <w:sz w:val="20"/>
              </w:rPr>
              <w:t>e</w:t>
            </w:r>
            <w:r w:rsidR="000466C5">
              <w:rPr>
                <w:rFonts w:ascii="Arial" w:hAnsi="Arial" w:cs="Arial"/>
                <w:sz w:val="20"/>
              </w:rPr>
              <w:t>n</w:t>
            </w:r>
            <w:r>
              <w:rPr>
                <w:rFonts w:ascii="Arial" w:hAnsi="Arial" w:cs="Arial"/>
                <w:sz w:val="20"/>
              </w:rPr>
              <w:t>ce as follows</w:t>
            </w:r>
            <w:r w:rsidR="00E75C22">
              <w:rPr>
                <w:rFonts w:ascii="Arial" w:hAnsi="Arial" w:cs="Arial"/>
                <w:sz w:val="20"/>
              </w:rPr>
              <w:t xml:space="preserve"> (see also 2238)</w:t>
            </w:r>
            <w:r>
              <w:rPr>
                <w:rFonts w:ascii="Arial" w:hAnsi="Arial" w:cs="Arial"/>
                <w:sz w:val="20"/>
              </w:rPr>
              <w:t>:</w:t>
            </w:r>
          </w:p>
          <w:p w:rsidR="00FC6EE0" w:rsidRDefault="00FC6EE0" w:rsidP="00FC6EE0">
            <w:pPr>
              <w:rPr>
                <w:rFonts w:ascii="Arial" w:hAnsi="Arial" w:cs="Arial"/>
                <w:sz w:val="20"/>
              </w:rPr>
            </w:pPr>
          </w:p>
          <w:p w:rsidR="00FC6EE0" w:rsidRPr="00641614" w:rsidRDefault="00E75C22" w:rsidP="00FC6EE0">
            <w:pPr>
              <w:rPr>
                <w:rFonts w:ascii="Arial" w:hAnsi="Arial" w:cs="Arial"/>
                <w:sz w:val="20"/>
              </w:rPr>
            </w:pPr>
            <w:r w:rsidRPr="00FC6EE0">
              <w:rPr>
                <w:rFonts w:ascii="Arial" w:hAnsi="Arial" w:cs="Arial"/>
                <w:sz w:val="20"/>
              </w:rPr>
              <w:t>A</w:t>
            </w:r>
            <w:r>
              <w:rPr>
                <w:rFonts w:ascii="Arial" w:hAnsi="Arial" w:cs="Arial"/>
                <w:sz w:val="20"/>
              </w:rPr>
              <w:t>n</w:t>
            </w:r>
            <w:r w:rsidRPr="00FC6EE0">
              <w:rPr>
                <w:rFonts w:ascii="Arial" w:hAnsi="Arial" w:cs="Arial"/>
                <w:sz w:val="20"/>
              </w:rPr>
              <w:t xml:space="preserve"> NGV STA provides MAC and PHY features as defined in Clause 31 (Next Generation V2X (NGV) MAC specification) and Clause 32 (Next Generation V2X (NGV) PHY specification)</w:t>
            </w:r>
            <w:r>
              <w:rPr>
                <w:rFonts w:ascii="Arial" w:hAnsi="Arial" w:cs="Arial"/>
                <w:sz w:val="20"/>
              </w:rPr>
              <w:t>. An NGV STA</w:t>
            </w:r>
            <w:r w:rsidRPr="00FC6EE0">
              <w:rPr>
                <w:rFonts w:ascii="Arial" w:hAnsi="Arial" w:cs="Arial"/>
                <w:sz w:val="20"/>
              </w:rPr>
              <w:t xml:space="preserve"> </w:t>
            </w:r>
            <w:r>
              <w:rPr>
                <w:rFonts w:ascii="Arial" w:hAnsi="Arial" w:cs="Arial"/>
                <w:sz w:val="20"/>
              </w:rPr>
              <w:t xml:space="preserve">supports </w:t>
            </w:r>
            <w:r w:rsidRPr="00FC6EE0">
              <w:rPr>
                <w:rFonts w:ascii="Arial" w:hAnsi="Arial" w:cs="Arial"/>
                <w:sz w:val="20"/>
              </w:rPr>
              <w:t xml:space="preserve">at least twice the throughput and at least 3 dB </w:t>
            </w:r>
            <w:r>
              <w:rPr>
                <w:rFonts w:ascii="Arial" w:hAnsi="Arial" w:cs="Arial"/>
                <w:sz w:val="20"/>
              </w:rPr>
              <w:t xml:space="preserve">better receiver minimum input sensitivity than a non-NGV STA </w:t>
            </w:r>
            <w:r w:rsidRPr="00FC6EE0">
              <w:rPr>
                <w:rFonts w:ascii="Arial" w:hAnsi="Arial" w:cs="Arial"/>
                <w:sz w:val="20"/>
              </w:rPr>
              <w:t xml:space="preserve">when communicating OCB in high mobility channel environments in the 5.9 GHz band, as defined in </w:t>
            </w:r>
            <w:r>
              <w:rPr>
                <w:rFonts w:ascii="Arial" w:hAnsi="Arial" w:cs="Arial"/>
                <w:sz w:val="20"/>
              </w:rPr>
              <w:t>sub</w:t>
            </w:r>
            <w:r w:rsidRPr="00FC6EE0">
              <w:rPr>
                <w:rFonts w:ascii="Arial" w:hAnsi="Arial" w:cs="Arial"/>
                <w:sz w:val="20"/>
              </w:rPr>
              <w:t>clauses E.2.3 (5.9 GHz band in the United States (5.850- 5.925 GHz)) and E.2.4 (5.9 GHz band in Europe (5.855-5.925 GHz)).</w:t>
            </w:r>
            <w:r>
              <w:rPr>
                <w:rFonts w:ascii="Arial" w:hAnsi="Arial" w:cs="Arial"/>
                <w:sz w:val="20"/>
              </w:rPr>
              <w:t xml:space="preserve"> The double throughput and higher receiver minimum </w:t>
            </w:r>
            <w:r>
              <w:rPr>
                <w:rFonts w:ascii="Arial" w:hAnsi="Arial" w:cs="Arial"/>
                <w:sz w:val="20"/>
              </w:rPr>
              <w:lastRenderedPageBreak/>
              <w:t>input sensitivity might not be supported simultaneously.</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lastRenderedPageBreak/>
              <w:t>2078</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sentence "Additionally, if an NGV STA is co-located with a STA that supports Fine Time Management .... It may optionally support ... outside the 5.9 GHz frequency band" appears no value added to the NGV STA or not clear about the point trying to convey. It is not clear about the relationship of the NGV STA and the co-located STA?</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it to avoid confusion or modify it to convey the missing point if any.</w:t>
            </w:r>
          </w:p>
        </w:tc>
        <w:tc>
          <w:tcPr>
            <w:tcW w:w="1668" w:type="pct"/>
          </w:tcPr>
          <w:p w:rsidR="00391EBA" w:rsidRDefault="003D2761" w:rsidP="00391EBA">
            <w:pPr>
              <w:rPr>
                <w:rFonts w:ascii="Arial" w:hAnsi="Arial" w:cs="Arial"/>
                <w:sz w:val="20"/>
              </w:rPr>
            </w:pPr>
            <w:r>
              <w:rPr>
                <w:rFonts w:ascii="Arial" w:hAnsi="Arial" w:cs="Arial"/>
                <w:sz w:val="20"/>
              </w:rPr>
              <w:t>Revised</w:t>
            </w:r>
          </w:p>
          <w:p w:rsidR="003D043D" w:rsidRDefault="003D043D" w:rsidP="003D043D">
            <w:pPr>
              <w:rPr>
                <w:rFonts w:ascii="Arial" w:hAnsi="Arial" w:cs="Arial"/>
                <w:sz w:val="20"/>
              </w:rPr>
            </w:pPr>
          </w:p>
          <w:p w:rsidR="003D043D" w:rsidRDefault="003D043D" w:rsidP="003D043D">
            <w:pPr>
              <w:rPr>
                <w:rFonts w:ascii="Arial" w:hAnsi="Arial" w:cs="Arial"/>
                <w:sz w:val="20"/>
              </w:rPr>
            </w:pPr>
            <w:r>
              <w:rPr>
                <w:rFonts w:ascii="Arial" w:hAnsi="Arial" w:cs="Arial"/>
                <w:sz w:val="20"/>
              </w:rPr>
              <w:t>Agree with comment.</w:t>
            </w:r>
          </w:p>
          <w:p w:rsidR="003D043D" w:rsidRDefault="003D043D" w:rsidP="003D043D">
            <w:pPr>
              <w:rPr>
                <w:rFonts w:ascii="Arial" w:hAnsi="Arial" w:cs="Arial"/>
                <w:sz w:val="20"/>
              </w:rPr>
            </w:pPr>
            <w:r>
              <w:rPr>
                <w:rFonts w:ascii="Arial" w:hAnsi="Arial" w:cs="Arial"/>
                <w:sz w:val="20"/>
              </w:rPr>
              <w:t>Paragraph on P19L38-42 will be removed see CID 2223.</w:t>
            </w:r>
          </w:p>
          <w:p w:rsidR="003D043D" w:rsidRDefault="003D043D" w:rsidP="003D043D">
            <w:pPr>
              <w:rPr>
                <w:rFonts w:ascii="Arial" w:hAnsi="Arial" w:cs="Arial"/>
                <w:sz w:val="20"/>
              </w:rPr>
            </w:pPr>
            <w:r>
              <w:rPr>
                <w:rFonts w:ascii="Arial" w:hAnsi="Arial" w:cs="Arial"/>
                <w:sz w:val="20"/>
              </w:rPr>
              <w:t>Similar CID 2051</w:t>
            </w:r>
          </w:p>
          <w:p w:rsidR="003D043D" w:rsidRDefault="003D043D" w:rsidP="003D043D">
            <w:pPr>
              <w:rPr>
                <w:rFonts w:ascii="Arial" w:hAnsi="Arial" w:cs="Arial"/>
                <w:sz w:val="20"/>
              </w:rPr>
            </w:pPr>
          </w:p>
          <w:p w:rsidR="003D043D" w:rsidRPr="006277C2" w:rsidRDefault="003D043D" w:rsidP="003D043D">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3D043D" w:rsidRDefault="003D043D" w:rsidP="003D043D">
            <w:pPr>
              <w:rPr>
                <w:rFonts w:ascii="Arial" w:hAnsi="Arial" w:cs="Arial"/>
                <w:sz w:val="20"/>
              </w:rPr>
            </w:pPr>
            <w:r>
              <w:rPr>
                <w:rFonts w:ascii="Arial" w:hAnsi="Arial" w:cs="Arial"/>
                <w:sz w:val="20"/>
              </w:rPr>
              <w:t xml:space="preserve">Please </w:t>
            </w:r>
            <w:r w:rsidR="001859E6">
              <w:rPr>
                <w:rFonts w:ascii="Arial" w:hAnsi="Arial" w:cs="Arial"/>
                <w:sz w:val="20"/>
              </w:rPr>
              <w:t xml:space="preserve">remove paragraph on P19L38-42 and </w:t>
            </w:r>
            <w:r>
              <w:rPr>
                <w:rFonts w:ascii="Arial" w:hAnsi="Arial" w:cs="Arial"/>
                <w:sz w:val="20"/>
              </w:rPr>
              <w:t>update sentence on P20L4</w:t>
            </w:r>
            <w:r w:rsidR="00EC6106">
              <w:rPr>
                <w:rFonts w:ascii="Arial" w:hAnsi="Arial" w:cs="Arial"/>
                <w:sz w:val="20"/>
              </w:rPr>
              <w:t>6</w:t>
            </w:r>
            <w:r>
              <w:rPr>
                <w:rFonts w:ascii="Arial" w:hAnsi="Arial" w:cs="Arial"/>
                <w:sz w:val="20"/>
              </w:rPr>
              <w:t>-L4</w:t>
            </w:r>
            <w:r w:rsidR="00EC6106">
              <w:rPr>
                <w:rFonts w:ascii="Arial" w:hAnsi="Arial" w:cs="Arial"/>
                <w:sz w:val="20"/>
              </w:rPr>
              <w:t>9</w:t>
            </w:r>
            <w:r>
              <w:rPr>
                <w:rFonts w:ascii="Arial" w:hAnsi="Arial" w:cs="Arial"/>
                <w:sz w:val="20"/>
              </w:rPr>
              <w:t xml:space="preserve"> as follows:</w:t>
            </w:r>
          </w:p>
          <w:p w:rsidR="003D043D" w:rsidRPr="00641614" w:rsidRDefault="003D043D" w:rsidP="003D043D">
            <w:pPr>
              <w:rPr>
                <w:rFonts w:ascii="Arial" w:hAnsi="Arial" w:cs="Arial"/>
                <w:sz w:val="20"/>
              </w:rPr>
            </w:pPr>
            <w:r>
              <w:rPr>
                <w:rFonts w:ascii="Arial" w:hAnsi="Arial" w:cs="Arial"/>
                <w:sz w:val="20"/>
              </w:rPr>
              <w:t>An NGV STA may be co-located with a STA operating outside the 5.9 GHz band that supports fine timing measurement procedure as defined in 11.21.6 (</w:t>
            </w:r>
            <w:r w:rsidRPr="00360A85">
              <w:rPr>
                <w:rFonts w:ascii="Arial" w:hAnsi="Arial" w:cs="Arial"/>
                <w:sz w:val="20"/>
              </w:rPr>
              <w:t>Fine timing measurement (FTM) procedure</w:t>
            </w:r>
            <w:r>
              <w:rPr>
                <w:rFonts w:ascii="Arial" w:hAnsi="Arial" w:cs="Arial"/>
                <w:sz w:val="20"/>
              </w:rPr>
              <w:t>).</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2051</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It is not the NGV STA that supports fine timing measurement, it is the (co-located) STA operating outside the 5.9 GHz band that supports fine timing measurement. Also, there is only one type of fine timing measurement so "as defined in" is not necessary. "</w:t>
            </w:r>
            <w:proofErr w:type="gramStart"/>
            <w:r>
              <w:rPr>
                <w:rFonts w:ascii="Arial" w:hAnsi="Arial" w:cs="Arial"/>
                <w:sz w:val="20"/>
              </w:rPr>
              <w:t>Additionally</w:t>
            </w:r>
            <w:proofErr w:type="gramEnd"/>
            <w:r>
              <w:rPr>
                <w:rFonts w:ascii="Arial" w:hAnsi="Arial" w:cs="Arial"/>
                <w:sz w:val="20"/>
              </w:rPr>
              <w:t>" is probably not appropriate. This seems to imply that only NGV STAs that support NGV ranging may be co-located with STAs that support FTM.</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the sentence to read "An NGV STA may be co-located with a STA operating outside the 5.9 GHz band that supports fine timing measurement (see 11.21.6)."</w:t>
            </w:r>
          </w:p>
        </w:tc>
        <w:tc>
          <w:tcPr>
            <w:tcW w:w="1668" w:type="pct"/>
          </w:tcPr>
          <w:p w:rsidR="00391EBA" w:rsidRDefault="003D2761" w:rsidP="00391EBA">
            <w:pPr>
              <w:rPr>
                <w:rFonts w:ascii="Arial" w:hAnsi="Arial" w:cs="Arial"/>
                <w:sz w:val="20"/>
              </w:rPr>
            </w:pPr>
            <w:r>
              <w:rPr>
                <w:rFonts w:ascii="Arial" w:hAnsi="Arial" w:cs="Arial"/>
                <w:sz w:val="20"/>
              </w:rPr>
              <w:t>Revised</w:t>
            </w:r>
          </w:p>
          <w:p w:rsidR="00360A85" w:rsidRDefault="00360A85" w:rsidP="00391EBA">
            <w:pPr>
              <w:rPr>
                <w:rFonts w:ascii="Arial" w:hAnsi="Arial" w:cs="Arial"/>
                <w:sz w:val="20"/>
              </w:rPr>
            </w:pPr>
          </w:p>
          <w:p w:rsidR="00360A85" w:rsidRDefault="00360A85" w:rsidP="00391EBA">
            <w:pPr>
              <w:rPr>
                <w:rFonts w:ascii="Arial" w:hAnsi="Arial" w:cs="Arial"/>
                <w:sz w:val="20"/>
              </w:rPr>
            </w:pPr>
            <w:r>
              <w:rPr>
                <w:rFonts w:ascii="Arial" w:hAnsi="Arial" w:cs="Arial"/>
                <w:sz w:val="20"/>
              </w:rPr>
              <w:t>Agree with comment.</w:t>
            </w:r>
          </w:p>
          <w:p w:rsidR="00360A85" w:rsidRDefault="00360A85" w:rsidP="00391EBA">
            <w:pPr>
              <w:rPr>
                <w:rFonts w:ascii="Arial" w:hAnsi="Arial" w:cs="Arial"/>
                <w:sz w:val="20"/>
              </w:rPr>
            </w:pPr>
            <w:r>
              <w:rPr>
                <w:rFonts w:ascii="Arial" w:hAnsi="Arial" w:cs="Arial"/>
                <w:sz w:val="20"/>
              </w:rPr>
              <w:t>Paragraph on P19L38-42 will be removed see CID 2223.</w:t>
            </w:r>
          </w:p>
          <w:p w:rsidR="003D043D" w:rsidRDefault="003D043D" w:rsidP="00391EBA">
            <w:pPr>
              <w:rPr>
                <w:rFonts w:ascii="Arial" w:hAnsi="Arial" w:cs="Arial"/>
                <w:sz w:val="20"/>
              </w:rPr>
            </w:pPr>
            <w:r>
              <w:rPr>
                <w:rFonts w:ascii="Arial" w:hAnsi="Arial" w:cs="Arial"/>
                <w:sz w:val="20"/>
              </w:rPr>
              <w:t>Similar CID 2078</w:t>
            </w:r>
          </w:p>
          <w:p w:rsidR="00360A85" w:rsidRDefault="00360A85" w:rsidP="00391EBA">
            <w:pPr>
              <w:rPr>
                <w:rFonts w:ascii="Arial" w:hAnsi="Arial" w:cs="Arial"/>
                <w:sz w:val="20"/>
              </w:rPr>
            </w:pPr>
          </w:p>
          <w:p w:rsidR="00360A85" w:rsidRPr="006277C2" w:rsidRDefault="00360A85" w:rsidP="00360A85">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360A85" w:rsidRDefault="001859E6" w:rsidP="00360A85">
            <w:pPr>
              <w:rPr>
                <w:rFonts w:ascii="Arial" w:hAnsi="Arial" w:cs="Arial"/>
                <w:sz w:val="20"/>
              </w:rPr>
            </w:pPr>
            <w:r>
              <w:rPr>
                <w:rFonts w:ascii="Arial" w:hAnsi="Arial" w:cs="Arial"/>
                <w:sz w:val="20"/>
              </w:rPr>
              <w:t xml:space="preserve">Please remove paragraph on P19L38-42 and </w:t>
            </w:r>
            <w:r w:rsidR="00360A85">
              <w:rPr>
                <w:rFonts w:ascii="Arial" w:hAnsi="Arial" w:cs="Arial"/>
                <w:sz w:val="20"/>
              </w:rPr>
              <w:t>update sentence on P20L4</w:t>
            </w:r>
            <w:r w:rsidR="00EC6106">
              <w:rPr>
                <w:rFonts w:ascii="Arial" w:hAnsi="Arial" w:cs="Arial"/>
                <w:sz w:val="20"/>
              </w:rPr>
              <w:t>6</w:t>
            </w:r>
            <w:r w:rsidR="00360A85">
              <w:rPr>
                <w:rFonts w:ascii="Arial" w:hAnsi="Arial" w:cs="Arial"/>
                <w:sz w:val="20"/>
              </w:rPr>
              <w:t>-L4</w:t>
            </w:r>
            <w:r w:rsidR="00EC6106">
              <w:rPr>
                <w:rFonts w:ascii="Arial" w:hAnsi="Arial" w:cs="Arial"/>
                <w:sz w:val="20"/>
              </w:rPr>
              <w:t>9</w:t>
            </w:r>
            <w:r w:rsidR="00360A85">
              <w:rPr>
                <w:rFonts w:ascii="Arial" w:hAnsi="Arial" w:cs="Arial"/>
                <w:sz w:val="20"/>
              </w:rPr>
              <w:t xml:space="preserve"> as follows:</w:t>
            </w:r>
          </w:p>
          <w:p w:rsidR="00360A85" w:rsidRPr="00641614" w:rsidRDefault="00360A85" w:rsidP="00360A85">
            <w:pPr>
              <w:rPr>
                <w:rFonts w:ascii="Arial" w:hAnsi="Arial" w:cs="Arial"/>
                <w:sz w:val="20"/>
              </w:rPr>
            </w:pPr>
            <w:r>
              <w:rPr>
                <w:rFonts w:ascii="Arial" w:hAnsi="Arial" w:cs="Arial"/>
                <w:sz w:val="20"/>
              </w:rPr>
              <w:t>An NGV STA may be co-located with a STA operating outside the 5.9 GHz band that supports fine timing measurement procedure as defined in 11.21.6 (</w:t>
            </w:r>
            <w:r w:rsidRPr="00360A85">
              <w:rPr>
                <w:rFonts w:ascii="Arial" w:hAnsi="Arial" w:cs="Arial"/>
                <w:sz w:val="20"/>
              </w:rPr>
              <w:t>Fine timing measurement (FTM) procedure</w:t>
            </w:r>
            <w:r>
              <w:rPr>
                <w:rFonts w:ascii="Arial" w:hAnsi="Arial" w:cs="Arial"/>
                <w:sz w:val="20"/>
              </w:rPr>
              <w:t>).</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2230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In the reply to my comment on D1.0, the response included the following statement: "As OCB operation does not limit the use of other PHY format in any unlicensed bands, e.g. VHT/HE PPDU. V2X use of OCB </w:t>
            </w:r>
            <w:proofErr w:type="gramStart"/>
            <w:r>
              <w:rPr>
                <w:rFonts w:ascii="Arial" w:hAnsi="Arial" w:cs="Arial"/>
                <w:sz w:val="20"/>
              </w:rPr>
              <w:t>operation  in</w:t>
            </w:r>
            <w:proofErr w:type="gramEnd"/>
            <w:r>
              <w:rPr>
                <w:rFonts w:ascii="Arial" w:hAnsi="Arial" w:cs="Arial"/>
                <w:sz w:val="20"/>
              </w:rPr>
              <w:t xml:space="preserve"> unlicensed bands should already be allowed in 802.11-20162020."  (See </w:t>
            </w:r>
            <w:r>
              <w:rPr>
                <w:rFonts w:ascii="Arial" w:hAnsi="Arial" w:cs="Arial"/>
                <w:sz w:val="20"/>
              </w:rPr>
              <w:lastRenderedPageBreak/>
              <w:t xml:space="preserve">also CAD Section 4.2 comments) This is not </w:t>
            </w:r>
            <w:proofErr w:type="gramStart"/>
            <w:r>
              <w:rPr>
                <w:rFonts w:ascii="Arial" w:hAnsi="Arial" w:cs="Arial"/>
                <w:sz w:val="20"/>
              </w:rPr>
              <w:t>acceptable;  802</w:t>
            </w:r>
            <w:proofErr w:type="gramEnd"/>
            <w:r>
              <w:rPr>
                <w:rFonts w:ascii="Arial" w:hAnsi="Arial" w:cs="Arial"/>
                <w:sz w:val="20"/>
              </w:rPr>
              <w:t>.11bd is supposed to be for use in Intelligent Transportation Systems (such as DSRC) and includes collision avoidance use cases, which must have a higher priority than regular Wi-Fi transmissions.  In addition, typical usage of Wi-Fi in the unlicensed bands permits transmissions that reserve the medium such as RTS/CTS, TXOP, and CTS-to-Self.  These types of medium reservation signals, which are commonly used in Wi-Fi, would disrupt timely delivery of safety related OCB transmissions such as used in DSRC.  In addition, Wi-Fi chipsets based on 802.11n/ac/</w:t>
            </w:r>
            <w:proofErr w:type="spellStart"/>
            <w:r>
              <w:rPr>
                <w:rFonts w:ascii="Arial" w:hAnsi="Arial" w:cs="Arial"/>
                <w:sz w:val="20"/>
              </w:rPr>
              <w:t>ax</w:t>
            </w:r>
            <w:proofErr w:type="spellEnd"/>
            <w:r>
              <w:rPr>
                <w:rFonts w:ascii="Arial" w:hAnsi="Arial" w:cs="Arial"/>
                <w:sz w:val="20"/>
              </w:rPr>
              <w:t>/be were not designed for use at vehicular speeds; there have been no detailed studies to my knowledge of the performance or suitability of these systems at the target speed of 250km/h. In addition - and most critically - there has been no analysis or simulation of the performance of OCB transmissions, especially DSRC, mixed with conventional Wi-Fi traffic in an unlicensed band.</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Note that operation of 802.11 in the unlicensed bands, whether U-NII-3, U-NII-4, or other unlicensed or license exempt bands is not recommended for Intelligent Transpiration Systems use cases and was not evaluated in this standard.</w:t>
            </w:r>
          </w:p>
        </w:tc>
        <w:tc>
          <w:tcPr>
            <w:tcW w:w="1668" w:type="pct"/>
          </w:tcPr>
          <w:p w:rsidR="00391EBA" w:rsidRDefault="003D2761" w:rsidP="00391EBA">
            <w:pPr>
              <w:rPr>
                <w:rFonts w:ascii="Arial" w:hAnsi="Arial" w:cs="Arial"/>
                <w:sz w:val="20"/>
              </w:rPr>
            </w:pPr>
            <w:r>
              <w:rPr>
                <w:rFonts w:ascii="Arial" w:hAnsi="Arial" w:cs="Arial"/>
                <w:sz w:val="20"/>
              </w:rPr>
              <w:t>Re</w:t>
            </w:r>
            <w:r w:rsidR="008113AD">
              <w:rPr>
                <w:rFonts w:ascii="Arial" w:hAnsi="Arial" w:cs="Arial"/>
                <w:sz w:val="20"/>
              </w:rPr>
              <w:t>jected</w:t>
            </w:r>
          </w:p>
          <w:p w:rsidR="008113AD" w:rsidRDefault="008113AD" w:rsidP="00391EBA">
            <w:pPr>
              <w:rPr>
                <w:rFonts w:ascii="Arial" w:hAnsi="Arial" w:cs="Arial"/>
                <w:sz w:val="20"/>
              </w:rPr>
            </w:pPr>
          </w:p>
          <w:p w:rsidR="008113AD" w:rsidRDefault="00935145" w:rsidP="00391EBA">
            <w:pPr>
              <w:rPr>
                <w:rFonts w:ascii="Arial" w:hAnsi="Arial" w:cs="Arial"/>
                <w:sz w:val="20"/>
              </w:rPr>
            </w:pPr>
            <w:r>
              <w:rPr>
                <w:rFonts w:ascii="Arial" w:hAnsi="Arial" w:cs="Arial"/>
                <w:sz w:val="20"/>
              </w:rPr>
              <w:t xml:space="preserve">First, </w:t>
            </w:r>
            <w:r w:rsidR="008113AD">
              <w:rPr>
                <w:rFonts w:ascii="Arial" w:hAnsi="Arial" w:cs="Arial"/>
                <w:sz w:val="20"/>
              </w:rPr>
              <w:t xml:space="preserve">CID 2230 </w:t>
            </w:r>
            <w:r>
              <w:rPr>
                <w:rFonts w:ascii="Arial" w:hAnsi="Arial" w:cs="Arial"/>
                <w:sz w:val="20"/>
              </w:rPr>
              <w:t xml:space="preserve">refers to an unsatisfactory resolution of CID 1178 with respect to D1.0. CID 2230 </w:t>
            </w:r>
            <w:r w:rsidR="008113AD">
              <w:rPr>
                <w:rFonts w:ascii="Arial" w:hAnsi="Arial" w:cs="Arial"/>
                <w:sz w:val="20"/>
              </w:rPr>
              <w:t>does not propose any changes to 11bd D2.0</w:t>
            </w:r>
            <w:r>
              <w:rPr>
                <w:rFonts w:ascii="Arial" w:hAnsi="Arial" w:cs="Arial"/>
                <w:sz w:val="20"/>
              </w:rPr>
              <w:t xml:space="preserve"> and</w:t>
            </w:r>
            <w:r w:rsidR="00275D7D">
              <w:rPr>
                <w:rFonts w:ascii="Arial" w:hAnsi="Arial" w:cs="Arial"/>
                <w:sz w:val="20"/>
              </w:rPr>
              <w:t xml:space="preserve"> states that the proposed response “is not acceptable”</w:t>
            </w:r>
            <w:r>
              <w:rPr>
                <w:rFonts w:ascii="Arial" w:hAnsi="Arial" w:cs="Arial"/>
                <w:sz w:val="20"/>
              </w:rPr>
              <w:t xml:space="preserve">, but there is no proposed change that allows to determine what is an acceptable </w:t>
            </w:r>
            <w:r w:rsidR="00360A85">
              <w:rPr>
                <w:rFonts w:ascii="Arial" w:hAnsi="Arial" w:cs="Arial"/>
                <w:sz w:val="20"/>
              </w:rPr>
              <w:t xml:space="preserve">resolution for the </w:t>
            </w:r>
            <w:proofErr w:type="spellStart"/>
            <w:r w:rsidR="00360A85">
              <w:rPr>
                <w:rFonts w:ascii="Arial" w:hAnsi="Arial" w:cs="Arial"/>
                <w:sz w:val="20"/>
              </w:rPr>
              <w:t>commentor</w:t>
            </w:r>
            <w:proofErr w:type="spellEnd"/>
            <w:r w:rsidR="00360A85">
              <w:rPr>
                <w:rFonts w:ascii="Arial" w:hAnsi="Arial" w:cs="Arial"/>
                <w:sz w:val="20"/>
              </w:rPr>
              <w:t>.</w:t>
            </w:r>
          </w:p>
          <w:p w:rsidR="00275D7D" w:rsidRDefault="00275D7D" w:rsidP="00391EBA">
            <w:pPr>
              <w:rPr>
                <w:rFonts w:ascii="Arial" w:hAnsi="Arial" w:cs="Arial"/>
                <w:sz w:val="20"/>
              </w:rPr>
            </w:pPr>
          </w:p>
          <w:p w:rsidR="00275D7D" w:rsidRPr="00275D7D" w:rsidRDefault="00275D7D" w:rsidP="00275D7D">
            <w:pPr>
              <w:rPr>
                <w:rFonts w:ascii="Arial" w:hAnsi="Arial" w:cs="Arial"/>
                <w:sz w:val="20"/>
              </w:rPr>
            </w:pPr>
            <w:r>
              <w:rPr>
                <w:rFonts w:ascii="Arial" w:hAnsi="Arial" w:cs="Arial"/>
                <w:sz w:val="20"/>
              </w:rPr>
              <w:t>Please note 11bd PAR</w:t>
            </w:r>
            <w:r w:rsidRPr="008113AD">
              <w:rPr>
                <w:rFonts w:ascii="Arial" w:hAnsi="Arial" w:cs="Arial"/>
                <w:sz w:val="20"/>
              </w:rPr>
              <w:t xml:space="preserve"> s</w:t>
            </w:r>
            <w:r w:rsidRPr="00275D7D">
              <w:rPr>
                <w:rFonts w:ascii="Arial" w:hAnsi="Arial" w:cs="Arial"/>
                <w:sz w:val="20"/>
              </w:rPr>
              <w:t>cope defines:</w:t>
            </w:r>
          </w:p>
          <w:p w:rsidR="00275D7D" w:rsidRDefault="00275D7D" w:rsidP="00275D7D">
            <w:pPr>
              <w:rPr>
                <w:rFonts w:ascii="Arial" w:hAnsi="Arial" w:cs="Arial"/>
                <w:sz w:val="20"/>
              </w:rPr>
            </w:pPr>
            <w:r w:rsidRPr="008113AD">
              <w:rPr>
                <w:rFonts w:ascii="Arial" w:hAnsi="Arial" w:cs="Arial"/>
                <w:sz w:val="20"/>
              </w:rPr>
              <w:t xml:space="preserve">This amendment defines modifications to both the IEEE 802.11 Medium Access Control layer (MAC) and Physical Layers </w:t>
            </w:r>
            <w:r w:rsidRPr="008113AD">
              <w:rPr>
                <w:rFonts w:ascii="Arial" w:hAnsi="Arial" w:cs="Arial"/>
                <w:sz w:val="20"/>
              </w:rPr>
              <w:lastRenderedPageBreak/>
              <w:t xml:space="preserve">(PHY) for </w:t>
            </w:r>
            <w:r w:rsidRPr="008113AD">
              <w:rPr>
                <w:rFonts w:ascii="Arial" w:hAnsi="Arial" w:cs="Arial"/>
                <w:sz w:val="20"/>
                <w:u w:val="single"/>
              </w:rPr>
              <w:t>vehicle to everything (V2X) communications for 5.9 GHz band as defined in clauses E.2.3 and E.2.4 of IEEE Std 802.11(TM)-2016;</w:t>
            </w:r>
            <w:r w:rsidRPr="008113AD">
              <w:rPr>
                <w:rFonts w:ascii="Arial" w:hAnsi="Arial" w:cs="Arial"/>
                <w:sz w:val="20"/>
              </w:rPr>
              <w:t xml:space="preserve"> </w:t>
            </w:r>
          </w:p>
          <w:p w:rsidR="00935145" w:rsidRDefault="00935145" w:rsidP="00935145">
            <w:pPr>
              <w:rPr>
                <w:rFonts w:ascii="Arial" w:hAnsi="Arial" w:cs="Arial"/>
                <w:sz w:val="20"/>
              </w:rPr>
            </w:pPr>
          </w:p>
          <w:p w:rsidR="00275D7D" w:rsidRPr="00641614" w:rsidRDefault="00935145" w:rsidP="00935145">
            <w:pPr>
              <w:rPr>
                <w:rFonts w:ascii="Arial" w:hAnsi="Arial" w:cs="Arial"/>
                <w:sz w:val="20"/>
              </w:rPr>
            </w:pPr>
            <w:r>
              <w:rPr>
                <w:rFonts w:ascii="Arial" w:hAnsi="Arial" w:cs="Arial"/>
                <w:sz w:val="20"/>
              </w:rPr>
              <w:t xml:space="preserve">Hence CID 1178 is out of scope of the 11bd PAR. CID 1178 would </w:t>
            </w:r>
            <w:proofErr w:type="spellStart"/>
            <w:r>
              <w:rPr>
                <w:rFonts w:ascii="Arial" w:hAnsi="Arial" w:cs="Arial"/>
                <w:sz w:val="20"/>
              </w:rPr>
              <w:t>requie</w:t>
            </w:r>
            <w:proofErr w:type="spellEnd"/>
            <w:r>
              <w:rPr>
                <w:rFonts w:ascii="Arial" w:hAnsi="Arial" w:cs="Arial"/>
                <w:sz w:val="20"/>
              </w:rPr>
              <w:t xml:space="preserve"> to change the scope of 11bd PAR, but there has been no support from </w:t>
            </w:r>
            <w:proofErr w:type="spellStart"/>
            <w:r>
              <w:rPr>
                <w:rFonts w:ascii="Arial" w:hAnsi="Arial" w:cs="Arial"/>
                <w:sz w:val="20"/>
              </w:rPr>
              <w:t>TGbd</w:t>
            </w:r>
            <w:proofErr w:type="spellEnd"/>
            <w:r>
              <w:rPr>
                <w:rFonts w:ascii="Arial" w:hAnsi="Arial" w:cs="Arial"/>
                <w:sz w:val="20"/>
              </w:rPr>
              <w:t xml:space="preserve"> to do this. </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lastRenderedPageBreak/>
              <w:t>2128</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20.04</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non-NGV duplicate operation is a main MAC feature distinguishing an </w:t>
            </w:r>
            <w:r>
              <w:rPr>
                <w:rFonts w:ascii="Arial" w:hAnsi="Arial" w:cs="Arial"/>
                <w:sz w:val="20"/>
              </w:rPr>
              <w:lastRenderedPageBreak/>
              <w:t>NGV STA from a non-NGV STA. Please add the following bullet as fifth bullet on line 14 to the bullet list on main MAC features of an NGV STA that are not present in a non-NGV-STA:</w:t>
            </w:r>
            <w:r>
              <w:rPr>
                <w:rFonts w:ascii="Arial" w:hAnsi="Arial" w:cs="Arial"/>
                <w:sz w:val="20"/>
              </w:rPr>
              <w:br/>
              <w:t xml:space="preserve">"Mandatory </w:t>
            </w:r>
            <w:r w:rsidRPr="00C51EFD">
              <w:rPr>
                <w:rFonts w:ascii="Arial" w:hAnsi="Arial" w:cs="Arial"/>
                <w:sz w:val="20"/>
              </w:rPr>
              <w:t>support for non-NGV duplicate operation for NGV STA supporting 20 MHz non-NGV duplicate PPDUs"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as in comment</w:t>
            </w:r>
          </w:p>
        </w:tc>
        <w:tc>
          <w:tcPr>
            <w:tcW w:w="1668" w:type="pct"/>
          </w:tcPr>
          <w:p w:rsidR="00391EBA" w:rsidRDefault="005D1B78" w:rsidP="00391EBA">
            <w:pPr>
              <w:rPr>
                <w:rFonts w:ascii="Arial" w:hAnsi="Arial" w:cs="Arial"/>
                <w:sz w:val="20"/>
              </w:rPr>
            </w:pPr>
            <w:r>
              <w:rPr>
                <w:rFonts w:ascii="Arial" w:hAnsi="Arial" w:cs="Arial"/>
                <w:sz w:val="20"/>
              </w:rPr>
              <w:t>Revised</w:t>
            </w:r>
          </w:p>
          <w:p w:rsidR="008F235F" w:rsidRDefault="008F235F" w:rsidP="00391EBA">
            <w:pPr>
              <w:rPr>
                <w:rFonts w:ascii="Arial" w:hAnsi="Arial" w:cs="Arial"/>
                <w:sz w:val="20"/>
              </w:rPr>
            </w:pPr>
          </w:p>
          <w:p w:rsidR="008F235F" w:rsidRDefault="008F235F" w:rsidP="00391EBA">
            <w:pPr>
              <w:rPr>
                <w:rFonts w:ascii="Arial" w:hAnsi="Arial" w:cs="Arial"/>
                <w:sz w:val="20"/>
              </w:rPr>
            </w:pPr>
            <w:r>
              <w:rPr>
                <w:rFonts w:ascii="Arial" w:hAnsi="Arial" w:cs="Arial"/>
                <w:sz w:val="20"/>
              </w:rPr>
              <w:t>Accord</w:t>
            </w:r>
            <w:r w:rsidR="001823D5">
              <w:rPr>
                <w:rFonts w:ascii="Arial" w:hAnsi="Arial" w:cs="Arial"/>
                <w:sz w:val="20"/>
              </w:rPr>
              <w:t>ing to</w:t>
            </w:r>
            <w:r w:rsidR="00C51EFD">
              <w:rPr>
                <w:rFonts w:ascii="Arial" w:hAnsi="Arial" w:cs="Arial"/>
                <w:sz w:val="20"/>
              </w:rPr>
              <w:t xml:space="preserve"> Subclause 31.2.5 (Non-NGV duplication operation) </w:t>
            </w:r>
            <w:r w:rsidR="00184088">
              <w:rPr>
                <w:rFonts w:ascii="Arial" w:hAnsi="Arial" w:cs="Arial"/>
                <w:sz w:val="20"/>
              </w:rPr>
              <w:t xml:space="preserve">and </w:t>
            </w:r>
            <w:r w:rsidR="001823D5">
              <w:rPr>
                <w:rFonts w:ascii="Arial" w:hAnsi="Arial" w:cs="Arial"/>
                <w:sz w:val="20"/>
              </w:rPr>
              <w:t xml:space="preserve">P68L65 </w:t>
            </w:r>
            <w:r w:rsidR="001823D5">
              <w:rPr>
                <w:rFonts w:ascii="Arial" w:hAnsi="Arial" w:cs="Arial"/>
                <w:sz w:val="20"/>
              </w:rPr>
              <w:lastRenderedPageBreak/>
              <w:t xml:space="preserve">non-NGV duplicate </w:t>
            </w:r>
            <w:r w:rsidR="00184088">
              <w:rPr>
                <w:rFonts w:ascii="Arial" w:hAnsi="Arial" w:cs="Arial"/>
                <w:sz w:val="20"/>
              </w:rPr>
              <w:t xml:space="preserve">operation and non-NGV duplicate </w:t>
            </w:r>
            <w:r w:rsidR="001823D5">
              <w:rPr>
                <w:rFonts w:ascii="Arial" w:hAnsi="Arial" w:cs="Arial"/>
                <w:sz w:val="20"/>
              </w:rPr>
              <w:t xml:space="preserve">PPDU </w:t>
            </w:r>
            <w:r w:rsidR="00184088">
              <w:rPr>
                <w:rFonts w:ascii="Arial" w:hAnsi="Arial" w:cs="Arial"/>
                <w:sz w:val="20"/>
              </w:rPr>
              <w:t>are</w:t>
            </w:r>
            <w:r w:rsidR="001823D5">
              <w:rPr>
                <w:rFonts w:ascii="Arial" w:hAnsi="Arial" w:cs="Arial"/>
                <w:sz w:val="20"/>
              </w:rPr>
              <w:t xml:space="preserve"> optional feature</w:t>
            </w:r>
            <w:r w:rsidR="00184088">
              <w:rPr>
                <w:rFonts w:ascii="Arial" w:hAnsi="Arial" w:cs="Arial"/>
                <w:sz w:val="20"/>
              </w:rPr>
              <w:t>s</w:t>
            </w:r>
            <w:r w:rsidR="001823D5">
              <w:rPr>
                <w:rFonts w:ascii="Arial" w:hAnsi="Arial" w:cs="Arial"/>
                <w:sz w:val="20"/>
              </w:rPr>
              <w:t xml:space="preserve">. </w:t>
            </w:r>
          </w:p>
          <w:p w:rsidR="0000315D" w:rsidRDefault="00E1652A" w:rsidP="00391EBA">
            <w:pPr>
              <w:rPr>
                <w:rFonts w:ascii="Arial" w:hAnsi="Arial" w:cs="Arial"/>
                <w:sz w:val="20"/>
              </w:rPr>
            </w:pPr>
            <w:r>
              <w:rPr>
                <w:rFonts w:ascii="Arial" w:hAnsi="Arial" w:cs="Arial"/>
                <w:sz w:val="20"/>
              </w:rPr>
              <w:t>See also CID 2127.</w:t>
            </w:r>
          </w:p>
          <w:p w:rsidR="0000315D" w:rsidRDefault="0000315D" w:rsidP="0000315D">
            <w:pPr>
              <w:rPr>
                <w:rFonts w:ascii="Arial" w:hAnsi="Arial" w:cs="Arial"/>
                <w:sz w:val="20"/>
              </w:rPr>
            </w:pPr>
          </w:p>
          <w:p w:rsidR="0000315D" w:rsidRPr="006277C2" w:rsidRDefault="0000315D" w:rsidP="0000315D">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00315D" w:rsidRPr="00641614" w:rsidRDefault="0000315D" w:rsidP="0000315D">
            <w:pPr>
              <w:rPr>
                <w:rFonts w:ascii="Arial" w:hAnsi="Arial" w:cs="Arial"/>
                <w:sz w:val="20"/>
              </w:rPr>
            </w:pPr>
            <w:r>
              <w:rPr>
                <w:rFonts w:ascii="Arial" w:hAnsi="Arial" w:cs="Arial"/>
                <w:sz w:val="20"/>
              </w:rPr>
              <w:t xml:space="preserve">Please add the following bullet </w:t>
            </w:r>
            <w:r w:rsidR="00C51EFD">
              <w:rPr>
                <w:rFonts w:ascii="Arial" w:hAnsi="Arial" w:cs="Arial"/>
                <w:sz w:val="20"/>
              </w:rPr>
              <w:t>at the end of the bullet list “main MAC features of an NGV STA”:</w:t>
            </w:r>
            <w:r w:rsidR="00C51EFD">
              <w:rPr>
                <w:rFonts w:ascii="Arial" w:hAnsi="Arial" w:cs="Arial"/>
                <w:sz w:val="20"/>
              </w:rPr>
              <w:br/>
              <w:t>- Optional support for 20 MHz non-NGV duplicate operation</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1859E6">
              <w:rPr>
                <w:rFonts w:ascii="Arial" w:hAnsi="Arial" w:cs="Arial"/>
                <w:sz w:val="20"/>
              </w:rPr>
              <w:lastRenderedPageBreak/>
              <w:t>2240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20.09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Our PHY and MAC requirements are inconsistent about support for 20 </w:t>
            </w:r>
            <w:proofErr w:type="spellStart"/>
            <w:r>
              <w:rPr>
                <w:rFonts w:ascii="Arial" w:hAnsi="Arial" w:cs="Arial"/>
                <w:sz w:val="20"/>
              </w:rPr>
              <w:t>MHz.</w:t>
            </w:r>
            <w:proofErr w:type="spellEnd"/>
            <w:r>
              <w:rPr>
                <w:rFonts w:ascii="Arial" w:hAnsi="Arial" w:cs="Arial"/>
                <w:sz w:val="20"/>
              </w:rPr>
              <w:t xml:space="preserve">  PHY support is optional (p. 19, line 57). MAC support is listed as mandatory on line 9 and optional on line 22.</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"Mandatory support for 20 MHz channel access ..." to "Optional support for 20 MHz channel access ..." to align with the other PHY and MAC requirements in this clause</w:t>
            </w:r>
          </w:p>
        </w:tc>
        <w:tc>
          <w:tcPr>
            <w:tcW w:w="1668" w:type="pct"/>
          </w:tcPr>
          <w:p w:rsidR="00391EBA" w:rsidRDefault="00926385" w:rsidP="00391EBA">
            <w:pPr>
              <w:rPr>
                <w:rFonts w:ascii="Arial" w:hAnsi="Arial" w:cs="Arial"/>
                <w:sz w:val="20"/>
              </w:rPr>
            </w:pPr>
            <w:r>
              <w:rPr>
                <w:rFonts w:ascii="Arial" w:hAnsi="Arial" w:cs="Arial"/>
                <w:sz w:val="20"/>
              </w:rPr>
              <w:t>Re</w:t>
            </w:r>
            <w:r w:rsidR="001859E6">
              <w:rPr>
                <w:rFonts w:ascii="Arial" w:hAnsi="Arial" w:cs="Arial"/>
                <w:sz w:val="20"/>
              </w:rPr>
              <w:t>vised</w:t>
            </w:r>
          </w:p>
          <w:p w:rsidR="00B20382" w:rsidRDefault="00B20382" w:rsidP="00391EBA">
            <w:pPr>
              <w:rPr>
                <w:rFonts w:ascii="Arial" w:hAnsi="Arial" w:cs="Arial"/>
                <w:sz w:val="20"/>
              </w:rPr>
            </w:pPr>
          </w:p>
          <w:p w:rsidR="00B20382" w:rsidRDefault="004926B3" w:rsidP="00391EBA">
            <w:pPr>
              <w:rPr>
                <w:rFonts w:ascii="Arial" w:hAnsi="Arial" w:cs="Arial"/>
                <w:sz w:val="20"/>
              </w:rPr>
            </w:pPr>
            <w:r>
              <w:rPr>
                <w:rFonts w:ascii="Arial" w:hAnsi="Arial" w:cs="Arial"/>
                <w:sz w:val="20"/>
              </w:rPr>
              <w:t>According to P20L33 and CR CID #2222, 20 MHz OCB communication is optional</w:t>
            </w:r>
            <w:r w:rsidR="00BC58B7">
              <w:rPr>
                <w:rFonts w:ascii="Arial" w:hAnsi="Arial" w:cs="Arial"/>
                <w:sz w:val="20"/>
              </w:rPr>
              <w:t xml:space="preserve">. If an NGV STA uses 20 MHz OCB communication, the </w:t>
            </w:r>
            <w:r w:rsidR="00BC58B7" w:rsidRPr="00BC58B7">
              <w:rPr>
                <w:rFonts w:ascii="Arial" w:hAnsi="Arial" w:cs="Arial"/>
                <w:sz w:val="20"/>
              </w:rPr>
              <w:t>20 MHz channel access with 10 MHz primary and 10 MHz secondary channel</w:t>
            </w:r>
            <w:r w:rsidR="00BC58B7">
              <w:rPr>
                <w:rFonts w:ascii="Arial" w:hAnsi="Arial" w:cs="Arial"/>
                <w:sz w:val="20"/>
              </w:rPr>
              <w:t xml:space="preserve"> is mandatory.</w:t>
            </w:r>
          </w:p>
          <w:p w:rsidR="001859E6" w:rsidRDefault="001859E6" w:rsidP="00391EBA">
            <w:pPr>
              <w:rPr>
                <w:rFonts w:ascii="Arial" w:hAnsi="Arial" w:cs="Arial"/>
                <w:sz w:val="20"/>
              </w:rPr>
            </w:pPr>
          </w:p>
          <w:p w:rsidR="001859E6" w:rsidRPr="006277C2" w:rsidRDefault="001859E6" w:rsidP="001859E6">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1859E6" w:rsidRDefault="001859E6" w:rsidP="001859E6">
            <w:pPr>
              <w:rPr>
                <w:rFonts w:ascii="Arial" w:hAnsi="Arial" w:cs="Arial"/>
                <w:sz w:val="20"/>
              </w:rPr>
            </w:pPr>
            <w:r>
              <w:rPr>
                <w:rFonts w:ascii="Arial" w:hAnsi="Arial" w:cs="Arial"/>
                <w:sz w:val="20"/>
              </w:rPr>
              <w:t xml:space="preserve">Please </w:t>
            </w:r>
            <w:r w:rsidR="00C310CC">
              <w:rPr>
                <w:rFonts w:ascii="Arial" w:hAnsi="Arial" w:cs="Arial"/>
                <w:sz w:val="20"/>
              </w:rPr>
              <w:t xml:space="preserve">replace </w:t>
            </w:r>
            <w:r>
              <w:rPr>
                <w:rFonts w:ascii="Arial" w:hAnsi="Arial" w:cs="Arial"/>
                <w:sz w:val="20"/>
              </w:rPr>
              <w:t>the bullet startin</w:t>
            </w:r>
            <w:r w:rsidR="00A11211">
              <w:rPr>
                <w:rFonts w:ascii="Arial" w:hAnsi="Arial" w:cs="Arial"/>
                <w:sz w:val="20"/>
              </w:rPr>
              <w:t>g</w:t>
            </w:r>
            <w:r>
              <w:rPr>
                <w:rFonts w:ascii="Arial" w:hAnsi="Arial" w:cs="Arial"/>
                <w:sz w:val="20"/>
              </w:rPr>
              <w:t xml:space="preserve"> on P20L21 as follows</w:t>
            </w:r>
            <w:r w:rsidR="00C310CC">
              <w:rPr>
                <w:rFonts w:ascii="Arial" w:hAnsi="Arial" w:cs="Arial"/>
                <w:sz w:val="20"/>
              </w:rPr>
              <w:t xml:space="preserve"> and move it after the “Optional support for 20 MHz OCB communication” bullet</w:t>
            </w:r>
            <w:r>
              <w:rPr>
                <w:rFonts w:ascii="Arial" w:hAnsi="Arial" w:cs="Arial"/>
                <w:sz w:val="20"/>
              </w:rPr>
              <w:t>:</w:t>
            </w:r>
          </w:p>
          <w:p w:rsidR="001859E6" w:rsidRPr="00641614" w:rsidRDefault="001859E6" w:rsidP="001859E6">
            <w:pPr>
              <w:rPr>
                <w:rFonts w:ascii="Arial" w:hAnsi="Arial" w:cs="Arial"/>
                <w:sz w:val="20"/>
              </w:rPr>
            </w:pPr>
            <w:r w:rsidRPr="001859E6">
              <w:rPr>
                <w:rFonts w:ascii="Arial" w:hAnsi="Arial" w:cs="Arial"/>
                <w:sz w:val="20"/>
              </w:rPr>
              <w:t>—</w:t>
            </w:r>
            <w:r w:rsidR="00C310CC">
              <w:rPr>
                <w:rFonts w:ascii="Arial" w:hAnsi="Arial" w:cs="Arial"/>
                <w:sz w:val="20"/>
              </w:rPr>
              <w:t xml:space="preserve"> For optional 20 MHz OCB communication</w:t>
            </w:r>
            <w:r w:rsidRPr="001859E6">
              <w:rPr>
                <w:rFonts w:ascii="Arial" w:hAnsi="Arial" w:cs="Arial"/>
                <w:sz w:val="20"/>
              </w:rPr>
              <w:t xml:space="preserve"> </w:t>
            </w:r>
            <w:r w:rsidR="00C310CC">
              <w:rPr>
                <w:rFonts w:ascii="Arial" w:hAnsi="Arial" w:cs="Arial"/>
                <w:sz w:val="20"/>
              </w:rPr>
              <w:t xml:space="preserve">an NGV STA shall </w:t>
            </w:r>
            <w:r w:rsidRPr="001859E6">
              <w:rPr>
                <w:rFonts w:ascii="Arial" w:hAnsi="Arial" w:cs="Arial"/>
                <w:sz w:val="20"/>
              </w:rPr>
              <w:t>support 20 MHz channel access with 10 MHz primary and 10 MHz secondary channel</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2223</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20.29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is no need to state that the NGV STA supports positioning twice (once on page 19 line 27 and then again in more detail on page 20 line 29).  The support of positioning should only be provided once in clause 4.</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Delete: "An NGV STA may support positioning based on NGV Ranging, which consists of a subset of Fine timing Measurement (FTM) functionalities as defined in 11.21.6 (Fine timing measurement (FTM) procedure) and P.3 (Differential Distance Computation using Fine Timing Measurement frames):</w:t>
            </w:r>
            <w:r>
              <w:rPr>
                <w:rFonts w:ascii="Arial" w:hAnsi="Arial" w:cs="Arial"/>
                <w:sz w:val="20"/>
              </w:rPr>
              <w:br/>
              <w:t xml:space="preserve">-- Fine Timing Measurement procedure negotiation and termination for Non-TB Ranging as defined in 11.21.6.3 (Fine Timing Measurement </w:t>
            </w:r>
            <w:r>
              <w:rPr>
                <w:rFonts w:ascii="Arial" w:hAnsi="Arial" w:cs="Arial"/>
                <w:sz w:val="20"/>
              </w:rPr>
              <w:lastRenderedPageBreak/>
              <w:t>procedure negotiation) and Non-TB Ranging as described in 11.21.6.4.4 (Non-TB Ranging measurement exchange)</w:t>
            </w:r>
            <w:r>
              <w:rPr>
                <w:rFonts w:ascii="Arial" w:hAnsi="Arial" w:cs="Arial"/>
                <w:sz w:val="20"/>
              </w:rPr>
              <w:br/>
              <w:t>-- Differential distance computation as detailed in Annex P.3 (Differential Distance Computation using Fine Timing Measurement frames)</w:t>
            </w:r>
            <w:r>
              <w:rPr>
                <w:rFonts w:ascii="Arial" w:hAnsi="Arial" w:cs="Arial"/>
                <w:sz w:val="20"/>
              </w:rPr>
              <w:br/>
              <w:t>Additionally, if an NGV STA is co-located with a STA that supports Fine Timing Measurement (FTM) functionalities as defined in 11.21.6 (Fine timing measurement (FTM) procedure), it may optionally support a Fine Timing Measurement procedure outside the 5.9 GHz frequency band."</w:t>
            </w:r>
          </w:p>
        </w:tc>
        <w:tc>
          <w:tcPr>
            <w:tcW w:w="1668" w:type="pct"/>
          </w:tcPr>
          <w:p w:rsidR="00391EBA" w:rsidRDefault="00926385" w:rsidP="00391EBA">
            <w:pPr>
              <w:rPr>
                <w:rFonts w:ascii="Arial" w:hAnsi="Arial" w:cs="Arial"/>
                <w:sz w:val="20"/>
              </w:rPr>
            </w:pPr>
            <w:r>
              <w:rPr>
                <w:rFonts w:ascii="Arial" w:hAnsi="Arial" w:cs="Arial"/>
                <w:sz w:val="20"/>
              </w:rPr>
              <w:lastRenderedPageBreak/>
              <w:t>Rev</w:t>
            </w:r>
            <w:r w:rsidR="00531D1B">
              <w:rPr>
                <w:rFonts w:ascii="Arial" w:hAnsi="Arial" w:cs="Arial"/>
                <w:sz w:val="20"/>
              </w:rPr>
              <w:t>ised</w:t>
            </w:r>
          </w:p>
          <w:p w:rsidR="00531D1B" w:rsidRDefault="00531D1B" w:rsidP="00391EBA">
            <w:pPr>
              <w:rPr>
                <w:rFonts w:ascii="Arial" w:hAnsi="Arial" w:cs="Arial"/>
                <w:sz w:val="20"/>
              </w:rPr>
            </w:pPr>
          </w:p>
          <w:p w:rsidR="00531D1B" w:rsidRDefault="00531D1B" w:rsidP="00391EBA">
            <w:pPr>
              <w:rPr>
                <w:rFonts w:ascii="Arial" w:hAnsi="Arial" w:cs="Arial"/>
                <w:sz w:val="20"/>
              </w:rPr>
            </w:pPr>
            <w:r>
              <w:rPr>
                <w:rFonts w:ascii="Arial" w:hAnsi="Arial" w:cs="Arial"/>
                <w:sz w:val="20"/>
              </w:rPr>
              <w:t xml:space="preserve">Agree with comment. CID 2223 is similar to CIDs </w:t>
            </w:r>
            <w:r w:rsidR="001859E6">
              <w:rPr>
                <w:rFonts w:ascii="Arial" w:hAnsi="Arial" w:cs="Arial"/>
                <w:sz w:val="20"/>
              </w:rPr>
              <w:t xml:space="preserve">2051, </w:t>
            </w:r>
            <w:r w:rsidR="00B20382">
              <w:rPr>
                <w:rFonts w:ascii="Arial" w:hAnsi="Arial" w:cs="Arial"/>
                <w:sz w:val="20"/>
              </w:rPr>
              <w:t>2055</w:t>
            </w:r>
            <w:r w:rsidR="001859E6">
              <w:rPr>
                <w:rFonts w:ascii="Arial" w:hAnsi="Arial" w:cs="Arial"/>
                <w:sz w:val="20"/>
              </w:rPr>
              <w:t>,</w:t>
            </w:r>
            <w:r w:rsidR="00B20382">
              <w:rPr>
                <w:rFonts w:ascii="Arial" w:hAnsi="Arial" w:cs="Arial"/>
                <w:sz w:val="20"/>
              </w:rPr>
              <w:t xml:space="preserve"> </w:t>
            </w:r>
            <w:r w:rsidR="001859E6">
              <w:rPr>
                <w:rFonts w:ascii="Arial" w:hAnsi="Arial" w:cs="Arial"/>
                <w:sz w:val="20"/>
              </w:rPr>
              <w:t xml:space="preserve">2078 and </w:t>
            </w:r>
            <w:r w:rsidR="00B20382">
              <w:rPr>
                <w:rFonts w:ascii="Arial" w:hAnsi="Arial" w:cs="Arial"/>
                <w:sz w:val="20"/>
              </w:rPr>
              <w:t>208</w:t>
            </w:r>
            <w:r w:rsidR="001859E6">
              <w:rPr>
                <w:rFonts w:ascii="Arial" w:hAnsi="Arial" w:cs="Arial"/>
                <w:sz w:val="20"/>
              </w:rPr>
              <w:t>0</w:t>
            </w:r>
            <w:r w:rsidR="00B20382">
              <w:rPr>
                <w:rFonts w:ascii="Arial" w:hAnsi="Arial" w:cs="Arial"/>
                <w:sz w:val="20"/>
              </w:rPr>
              <w:t>.</w:t>
            </w:r>
          </w:p>
          <w:p w:rsidR="00B20382" w:rsidRDefault="00B20382" w:rsidP="00391EBA">
            <w:pPr>
              <w:rPr>
                <w:rFonts w:ascii="Arial" w:hAnsi="Arial" w:cs="Arial"/>
                <w:sz w:val="20"/>
              </w:rPr>
            </w:pPr>
          </w:p>
          <w:p w:rsidR="00B20382" w:rsidRPr="006277C2" w:rsidRDefault="00B20382" w:rsidP="00B20382">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B20382" w:rsidRPr="00641614" w:rsidRDefault="00B20382" w:rsidP="00B20382">
            <w:pPr>
              <w:rPr>
                <w:rFonts w:ascii="Arial" w:hAnsi="Arial" w:cs="Arial"/>
                <w:sz w:val="20"/>
              </w:rPr>
            </w:pPr>
            <w:r>
              <w:rPr>
                <w:rFonts w:ascii="Arial" w:hAnsi="Arial" w:cs="Arial"/>
                <w:sz w:val="20"/>
              </w:rPr>
              <w:t xml:space="preserve">Please remove the paragraph on P19L38-L42 and </w:t>
            </w:r>
            <w:r w:rsidR="001859E6">
              <w:rPr>
                <w:rFonts w:ascii="Arial" w:hAnsi="Arial" w:cs="Arial"/>
                <w:sz w:val="20"/>
              </w:rPr>
              <w:t>u</w:t>
            </w:r>
            <w:r>
              <w:rPr>
                <w:rFonts w:ascii="Arial" w:hAnsi="Arial" w:cs="Arial"/>
                <w:sz w:val="20"/>
              </w:rPr>
              <w:t xml:space="preserve">se same resolution </w:t>
            </w:r>
            <w:r w:rsidR="001859E6">
              <w:rPr>
                <w:rFonts w:ascii="Arial" w:hAnsi="Arial" w:cs="Arial"/>
                <w:sz w:val="20"/>
              </w:rPr>
              <w:t xml:space="preserve">as </w:t>
            </w:r>
            <w:r>
              <w:rPr>
                <w:rFonts w:ascii="Arial" w:hAnsi="Arial" w:cs="Arial"/>
                <w:sz w:val="20"/>
              </w:rPr>
              <w:t>for CIDs</w:t>
            </w:r>
            <w:r w:rsidR="001859E6">
              <w:rPr>
                <w:rFonts w:ascii="Arial" w:hAnsi="Arial" w:cs="Arial"/>
                <w:sz w:val="20"/>
              </w:rPr>
              <w:t xml:space="preserve"> 2051 and 2078</w:t>
            </w:r>
            <w:r>
              <w:rPr>
                <w:rFonts w:ascii="Arial" w:hAnsi="Arial" w:cs="Arial"/>
                <w:sz w:val="20"/>
              </w:rPr>
              <w:t>.</w:t>
            </w:r>
          </w:p>
        </w:tc>
      </w:tr>
    </w:tbl>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382" w:rsidRDefault="004B0382">
      <w:r>
        <w:separator/>
      </w:r>
    </w:p>
  </w:endnote>
  <w:endnote w:type="continuationSeparator" w:id="0">
    <w:p w:rsidR="004B0382" w:rsidRDefault="004B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100455">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382" w:rsidRDefault="004B0382">
      <w:r>
        <w:separator/>
      </w:r>
    </w:p>
  </w:footnote>
  <w:footnote w:type="continuationSeparator" w:id="0">
    <w:p w:rsidR="004B0382" w:rsidRDefault="004B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100455">
    <w:pPr>
      <w:pStyle w:val="Header"/>
      <w:tabs>
        <w:tab w:val="clear" w:pos="6480"/>
        <w:tab w:val="center" w:pos="4680"/>
        <w:tab w:val="right" w:pos="9360"/>
      </w:tabs>
    </w:pPr>
    <w:fldSimple w:instr=" KEYWORDS  \* MERGEFORMAT ">
      <w:r w:rsidR="007B39F7">
        <w:t>November 2021</w:t>
      </w:r>
    </w:fldSimple>
    <w:r w:rsidR="005921A2">
      <w:tab/>
    </w:r>
    <w:r w:rsidR="005921A2">
      <w:tab/>
    </w:r>
    <w:fldSimple w:instr=" TITLE  \* MERGEFORMAT ">
      <w:r w:rsidR="003D288A">
        <w:t>doc.: IEEE 802.11-21/1800r2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0315D"/>
    <w:rsid w:val="00013616"/>
    <w:rsid w:val="00017341"/>
    <w:rsid w:val="00017FE2"/>
    <w:rsid w:val="000345DC"/>
    <w:rsid w:val="000466C5"/>
    <w:rsid w:val="000570EB"/>
    <w:rsid w:val="00094B80"/>
    <w:rsid w:val="000A1F6D"/>
    <w:rsid w:val="000A2771"/>
    <w:rsid w:val="000C13BF"/>
    <w:rsid w:val="000D1CB8"/>
    <w:rsid w:val="000D3551"/>
    <w:rsid w:val="00100455"/>
    <w:rsid w:val="00111091"/>
    <w:rsid w:val="00114AE4"/>
    <w:rsid w:val="0012018C"/>
    <w:rsid w:val="001324E6"/>
    <w:rsid w:val="00136617"/>
    <w:rsid w:val="00142B92"/>
    <w:rsid w:val="001500AD"/>
    <w:rsid w:val="00152196"/>
    <w:rsid w:val="00162F52"/>
    <w:rsid w:val="00172128"/>
    <w:rsid w:val="00174D8F"/>
    <w:rsid w:val="00175C56"/>
    <w:rsid w:val="0017782B"/>
    <w:rsid w:val="001823D5"/>
    <w:rsid w:val="00184088"/>
    <w:rsid w:val="001859E6"/>
    <w:rsid w:val="0019409A"/>
    <w:rsid w:val="001A7AC1"/>
    <w:rsid w:val="001B055D"/>
    <w:rsid w:val="001C76CC"/>
    <w:rsid w:val="001D723B"/>
    <w:rsid w:val="001D7CE6"/>
    <w:rsid w:val="001F3109"/>
    <w:rsid w:val="00221721"/>
    <w:rsid w:val="00223AFB"/>
    <w:rsid w:val="00225114"/>
    <w:rsid w:val="00271598"/>
    <w:rsid w:val="00275D7D"/>
    <w:rsid w:val="002870C5"/>
    <w:rsid w:val="0029020B"/>
    <w:rsid w:val="002960DE"/>
    <w:rsid w:val="002A38F6"/>
    <w:rsid w:val="002A7BFE"/>
    <w:rsid w:val="002B0CE6"/>
    <w:rsid w:val="002B588A"/>
    <w:rsid w:val="002C4C6D"/>
    <w:rsid w:val="002C505D"/>
    <w:rsid w:val="002C78D6"/>
    <w:rsid w:val="002D44BE"/>
    <w:rsid w:val="002F7887"/>
    <w:rsid w:val="00302D5A"/>
    <w:rsid w:val="0031269C"/>
    <w:rsid w:val="00324432"/>
    <w:rsid w:val="00337E4E"/>
    <w:rsid w:val="003468D4"/>
    <w:rsid w:val="003574E5"/>
    <w:rsid w:val="00360A85"/>
    <w:rsid w:val="00364087"/>
    <w:rsid w:val="00367C70"/>
    <w:rsid w:val="00390F41"/>
    <w:rsid w:val="00391EBA"/>
    <w:rsid w:val="003A2DA7"/>
    <w:rsid w:val="003A7996"/>
    <w:rsid w:val="003B3A77"/>
    <w:rsid w:val="003C3619"/>
    <w:rsid w:val="003C6038"/>
    <w:rsid w:val="003D043D"/>
    <w:rsid w:val="003D139E"/>
    <w:rsid w:val="003D1C42"/>
    <w:rsid w:val="003D2761"/>
    <w:rsid w:val="003D288A"/>
    <w:rsid w:val="003F0DC4"/>
    <w:rsid w:val="003F10DE"/>
    <w:rsid w:val="004049EF"/>
    <w:rsid w:val="00406EDB"/>
    <w:rsid w:val="004142AB"/>
    <w:rsid w:val="00416F17"/>
    <w:rsid w:val="0042189B"/>
    <w:rsid w:val="00426730"/>
    <w:rsid w:val="00442037"/>
    <w:rsid w:val="00460F97"/>
    <w:rsid w:val="00462648"/>
    <w:rsid w:val="00480B6B"/>
    <w:rsid w:val="00492095"/>
    <w:rsid w:val="00492505"/>
    <w:rsid w:val="004926B3"/>
    <w:rsid w:val="004960FC"/>
    <w:rsid w:val="00497A24"/>
    <w:rsid w:val="004B0382"/>
    <w:rsid w:val="004B064B"/>
    <w:rsid w:val="004B51B8"/>
    <w:rsid w:val="004C7776"/>
    <w:rsid w:val="004D01BA"/>
    <w:rsid w:val="004D5D8A"/>
    <w:rsid w:val="004F17F0"/>
    <w:rsid w:val="005079A8"/>
    <w:rsid w:val="005226EA"/>
    <w:rsid w:val="00531D1B"/>
    <w:rsid w:val="00542F03"/>
    <w:rsid w:val="0055508F"/>
    <w:rsid w:val="005802F8"/>
    <w:rsid w:val="005921A2"/>
    <w:rsid w:val="005D1B78"/>
    <w:rsid w:val="006164F6"/>
    <w:rsid w:val="00620941"/>
    <w:rsid w:val="0062440B"/>
    <w:rsid w:val="0062779D"/>
    <w:rsid w:val="006277C2"/>
    <w:rsid w:val="006310AB"/>
    <w:rsid w:val="00641614"/>
    <w:rsid w:val="00642252"/>
    <w:rsid w:val="00643771"/>
    <w:rsid w:val="0064434B"/>
    <w:rsid w:val="00646FF6"/>
    <w:rsid w:val="00652741"/>
    <w:rsid w:val="0066243A"/>
    <w:rsid w:val="00667BAC"/>
    <w:rsid w:val="006A3CF4"/>
    <w:rsid w:val="006B6CAF"/>
    <w:rsid w:val="006C0727"/>
    <w:rsid w:val="006E145F"/>
    <w:rsid w:val="007227E8"/>
    <w:rsid w:val="0072329C"/>
    <w:rsid w:val="00740263"/>
    <w:rsid w:val="00745A72"/>
    <w:rsid w:val="00751267"/>
    <w:rsid w:val="00753457"/>
    <w:rsid w:val="007640C8"/>
    <w:rsid w:val="00770572"/>
    <w:rsid w:val="007708D0"/>
    <w:rsid w:val="00776FC6"/>
    <w:rsid w:val="007903C7"/>
    <w:rsid w:val="00797CA3"/>
    <w:rsid w:val="007B39F7"/>
    <w:rsid w:val="007C3070"/>
    <w:rsid w:val="007E1E78"/>
    <w:rsid w:val="007E35BB"/>
    <w:rsid w:val="008044B3"/>
    <w:rsid w:val="00806425"/>
    <w:rsid w:val="008113AD"/>
    <w:rsid w:val="008224FC"/>
    <w:rsid w:val="00832D07"/>
    <w:rsid w:val="00847C90"/>
    <w:rsid w:val="00855248"/>
    <w:rsid w:val="00871F00"/>
    <w:rsid w:val="00890282"/>
    <w:rsid w:val="00891A80"/>
    <w:rsid w:val="0089253C"/>
    <w:rsid w:val="008A71B0"/>
    <w:rsid w:val="008B4432"/>
    <w:rsid w:val="008C1FF5"/>
    <w:rsid w:val="008F05A3"/>
    <w:rsid w:val="008F235F"/>
    <w:rsid w:val="009052FF"/>
    <w:rsid w:val="00912F07"/>
    <w:rsid w:val="009202D9"/>
    <w:rsid w:val="009226C0"/>
    <w:rsid w:val="009227DF"/>
    <w:rsid w:val="00926385"/>
    <w:rsid w:val="00935145"/>
    <w:rsid w:val="009447CE"/>
    <w:rsid w:val="009504FE"/>
    <w:rsid w:val="00964DB2"/>
    <w:rsid w:val="009703E3"/>
    <w:rsid w:val="00974449"/>
    <w:rsid w:val="00981CC8"/>
    <w:rsid w:val="00990D64"/>
    <w:rsid w:val="009A4FB1"/>
    <w:rsid w:val="009B01B0"/>
    <w:rsid w:val="009E2318"/>
    <w:rsid w:val="009F2FBC"/>
    <w:rsid w:val="009F5957"/>
    <w:rsid w:val="009F76F1"/>
    <w:rsid w:val="00A11211"/>
    <w:rsid w:val="00A31A4B"/>
    <w:rsid w:val="00A4002B"/>
    <w:rsid w:val="00A453BD"/>
    <w:rsid w:val="00A87326"/>
    <w:rsid w:val="00AA427C"/>
    <w:rsid w:val="00AB02BD"/>
    <w:rsid w:val="00AB25D4"/>
    <w:rsid w:val="00B20382"/>
    <w:rsid w:val="00B2143B"/>
    <w:rsid w:val="00B2231C"/>
    <w:rsid w:val="00B249F3"/>
    <w:rsid w:val="00B406D3"/>
    <w:rsid w:val="00B476A3"/>
    <w:rsid w:val="00B50E5C"/>
    <w:rsid w:val="00B53A11"/>
    <w:rsid w:val="00B617FE"/>
    <w:rsid w:val="00B64B87"/>
    <w:rsid w:val="00B6679A"/>
    <w:rsid w:val="00B725B8"/>
    <w:rsid w:val="00B756FA"/>
    <w:rsid w:val="00B760D3"/>
    <w:rsid w:val="00B85CD2"/>
    <w:rsid w:val="00B86981"/>
    <w:rsid w:val="00B87559"/>
    <w:rsid w:val="00B87DED"/>
    <w:rsid w:val="00B93667"/>
    <w:rsid w:val="00B97CC9"/>
    <w:rsid w:val="00BB5831"/>
    <w:rsid w:val="00BC2F23"/>
    <w:rsid w:val="00BC46CF"/>
    <w:rsid w:val="00BC58B7"/>
    <w:rsid w:val="00BC6DA2"/>
    <w:rsid w:val="00BC7B79"/>
    <w:rsid w:val="00BD52CD"/>
    <w:rsid w:val="00BE3B6B"/>
    <w:rsid w:val="00BE68C2"/>
    <w:rsid w:val="00C01CEA"/>
    <w:rsid w:val="00C179CF"/>
    <w:rsid w:val="00C310CC"/>
    <w:rsid w:val="00C344FC"/>
    <w:rsid w:val="00C36AC3"/>
    <w:rsid w:val="00C51EFD"/>
    <w:rsid w:val="00C5206F"/>
    <w:rsid w:val="00C56ED3"/>
    <w:rsid w:val="00C61645"/>
    <w:rsid w:val="00C64928"/>
    <w:rsid w:val="00C67DC3"/>
    <w:rsid w:val="00CA09B2"/>
    <w:rsid w:val="00CA1475"/>
    <w:rsid w:val="00CA2277"/>
    <w:rsid w:val="00CA4B1E"/>
    <w:rsid w:val="00CA6EB6"/>
    <w:rsid w:val="00CB0FF1"/>
    <w:rsid w:val="00CD1F4B"/>
    <w:rsid w:val="00CD7BF8"/>
    <w:rsid w:val="00CF1374"/>
    <w:rsid w:val="00CF5F3C"/>
    <w:rsid w:val="00D01B65"/>
    <w:rsid w:val="00D1020F"/>
    <w:rsid w:val="00D21086"/>
    <w:rsid w:val="00D22211"/>
    <w:rsid w:val="00D53DD7"/>
    <w:rsid w:val="00D65EA7"/>
    <w:rsid w:val="00D66E6B"/>
    <w:rsid w:val="00D9634E"/>
    <w:rsid w:val="00DA0FAC"/>
    <w:rsid w:val="00DA4975"/>
    <w:rsid w:val="00DC1BE1"/>
    <w:rsid w:val="00DC381E"/>
    <w:rsid w:val="00DC5A7B"/>
    <w:rsid w:val="00DD4FFD"/>
    <w:rsid w:val="00DD61B1"/>
    <w:rsid w:val="00DD71D9"/>
    <w:rsid w:val="00E10DB8"/>
    <w:rsid w:val="00E11B39"/>
    <w:rsid w:val="00E1652A"/>
    <w:rsid w:val="00E22599"/>
    <w:rsid w:val="00E356D3"/>
    <w:rsid w:val="00E44E11"/>
    <w:rsid w:val="00E457DA"/>
    <w:rsid w:val="00E5034B"/>
    <w:rsid w:val="00E54452"/>
    <w:rsid w:val="00E675DC"/>
    <w:rsid w:val="00E752AC"/>
    <w:rsid w:val="00E75C22"/>
    <w:rsid w:val="00E76F61"/>
    <w:rsid w:val="00E87189"/>
    <w:rsid w:val="00E87F5A"/>
    <w:rsid w:val="00E95033"/>
    <w:rsid w:val="00EB03EC"/>
    <w:rsid w:val="00EC6106"/>
    <w:rsid w:val="00EE117C"/>
    <w:rsid w:val="00EE1844"/>
    <w:rsid w:val="00F00B95"/>
    <w:rsid w:val="00F31F32"/>
    <w:rsid w:val="00F570D1"/>
    <w:rsid w:val="00F57FD7"/>
    <w:rsid w:val="00F829EA"/>
    <w:rsid w:val="00F86C6B"/>
    <w:rsid w:val="00F968C6"/>
    <w:rsid w:val="00FA1B0E"/>
    <w:rsid w:val="00FC6EE0"/>
    <w:rsid w:val="00FF0608"/>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0F9049"/>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table" w:styleId="TableGrid">
    <w:name w:val="Table Grid"/>
    <w:basedOn w:val="TableNormal"/>
    <w:rsid w:val="0015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113AD"/>
  </w:style>
  <w:style w:type="character" w:styleId="Strong">
    <w:name w:val="Strong"/>
    <w:basedOn w:val="DefaultParagraphFont"/>
    <w:uiPriority w:val="22"/>
    <w:qFormat/>
    <w:rsid w:val="008113AD"/>
    <w:rPr>
      <w:b/>
      <w:bCs/>
    </w:rPr>
  </w:style>
  <w:style w:type="paragraph" w:styleId="NormalWeb">
    <w:name w:val="Normal (Web)"/>
    <w:basedOn w:val="Normal"/>
    <w:uiPriority w:val="99"/>
    <w:unhideWhenUsed/>
    <w:rsid w:val="008113AD"/>
    <w:pPr>
      <w:spacing w:before="100" w:beforeAutospacing="1" w:after="100" w:afterAutospacing="1"/>
    </w:pPr>
    <w:rPr>
      <w:sz w:val="24"/>
      <w:szCs w:val="24"/>
      <w:lang w:val="en-US"/>
    </w:rPr>
  </w:style>
  <w:style w:type="character" w:customStyle="1" w:styleId="highlight">
    <w:name w:val="highlight"/>
    <w:basedOn w:val="DefaultParagraphFont"/>
    <w:rsid w:val="007B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0714495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481-02-00bd-d2-0-cr-clause-4-related-to-ngv-sta-definition-and-60-ghz-operatio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1B66-BC0B-4972-A427-4D4DA680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802.11-21/1800r2</vt:lpstr>
    </vt:vector>
  </TitlesOfParts>
  <Company>Some Company</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802.11-21/1800r2</dc:title>
  <dc:subject>Submission</dc:subject>
  <dc:creator>Sand, Stephan</dc:creator>
  <cp:keywords>November 2021</cp:keywords>
  <dc:description>Stephan Sand, DLR</dc:description>
  <cp:lastModifiedBy>Sand, Stephan</cp:lastModifiedBy>
  <cp:revision>2</cp:revision>
  <cp:lastPrinted>1899-12-31T23:00:00Z</cp:lastPrinted>
  <dcterms:created xsi:type="dcterms:W3CDTF">2021-11-10T17:06:00Z</dcterms:created>
  <dcterms:modified xsi:type="dcterms:W3CDTF">2021-11-10T17:06:00Z</dcterms:modified>
</cp:coreProperties>
</file>