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5C8DBE9" w:rsidR="00BD6FB0" w:rsidRPr="002A26D1" w:rsidRDefault="00D73BE5" w:rsidP="00D73BE5">
            <w:pPr>
              <w:jc w:val="center"/>
              <w:rPr>
                <w:b/>
                <w:bCs/>
                <w:color w:val="000000"/>
                <w:sz w:val="28"/>
                <w:szCs w:val="28"/>
                <w:lang w:val="en-US" w:eastAsia="ko-KR"/>
              </w:rPr>
            </w:pPr>
            <w:r>
              <w:rPr>
                <w:b/>
                <w:sz w:val="28"/>
                <w:szCs w:val="28"/>
                <w:lang w:val="en-US"/>
              </w:rPr>
              <w:t>CC36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F4CDF">
              <w:rPr>
                <w:b/>
                <w:sz w:val="28"/>
                <w:szCs w:val="28"/>
                <w:lang w:val="en-US" w:eastAsia="ko-KR"/>
              </w:rPr>
              <w:t xml:space="preserve">CID </w:t>
            </w:r>
            <w:r>
              <w:rPr>
                <w:b/>
                <w:sz w:val="28"/>
                <w:szCs w:val="28"/>
                <w:lang w:val="en-US" w:eastAsia="ko-KR"/>
              </w:rPr>
              <w:t>7019</w:t>
            </w:r>
            <w:r w:rsidR="00AF4CDF">
              <w:rPr>
                <w:b/>
                <w:sz w:val="28"/>
                <w:szCs w:val="28"/>
                <w:lang w:val="en-US" w:eastAsia="ko-KR"/>
              </w:rPr>
              <w:t xml:space="preserve"> and </w:t>
            </w:r>
            <w:r>
              <w:rPr>
                <w:b/>
                <w:sz w:val="28"/>
                <w:szCs w:val="28"/>
                <w:lang w:val="en-US" w:eastAsia="ko-KR"/>
              </w:rPr>
              <w:t>7378</w:t>
            </w:r>
            <w:r w:rsidR="001E5538">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FD270A6" w:rsidR="00BD6FB0" w:rsidRPr="00BD6FB0" w:rsidRDefault="00BD6FB0" w:rsidP="00FF3533">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D73BE5">
              <w:t>1</w:t>
            </w:r>
            <w:r w:rsidR="00FF3533">
              <w:t>1</w:t>
            </w:r>
            <w:r w:rsidR="00361A7D">
              <w:t>-</w:t>
            </w:r>
            <w:r w:rsidR="00EB410A">
              <w:t>04</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r>
              <w:rPr>
                <w:rFonts w:hint="eastAsia"/>
                <w:lang w:eastAsia="ko-KR"/>
              </w:rPr>
              <w:t>Eunsung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1A2964" w:rsidRPr="0019516D" w14:paraId="356C739F" w14:textId="77777777" w:rsidTr="00FB1C8F">
        <w:trPr>
          <w:trHeight w:val="284"/>
        </w:trPr>
        <w:tc>
          <w:tcPr>
            <w:tcW w:w="1555" w:type="dxa"/>
            <w:shd w:val="clear" w:color="auto" w:fill="FFFFFF"/>
            <w:tcMar>
              <w:top w:w="15" w:type="dxa"/>
              <w:left w:w="108" w:type="dxa"/>
              <w:bottom w:w="0" w:type="dxa"/>
              <w:right w:w="108" w:type="dxa"/>
            </w:tcMar>
            <w:vAlign w:val="center"/>
          </w:tcPr>
          <w:p w14:paraId="7B2B5E4F" w14:textId="2A71715A" w:rsidR="001A2964" w:rsidRDefault="001A2964" w:rsidP="003D66D1">
            <w:pPr>
              <w:rPr>
                <w:lang w:eastAsia="ko-KR"/>
              </w:rPr>
            </w:pPr>
            <w:r>
              <w:rPr>
                <w:rFonts w:hint="eastAsia"/>
                <w:lang w:eastAsia="ko-KR"/>
              </w:rPr>
              <w:t>Sigurd</w:t>
            </w:r>
            <w:r>
              <w:rPr>
                <w:lang w:eastAsia="ko-KR"/>
              </w:rPr>
              <w:t xml:space="preserve"> </w:t>
            </w:r>
            <w:r>
              <w:t xml:space="preserve"> </w:t>
            </w:r>
            <w:r w:rsidRPr="001A2964">
              <w:rPr>
                <w:lang w:eastAsia="ko-KR"/>
              </w:rPr>
              <w:t>Schelstraete</w:t>
            </w:r>
          </w:p>
        </w:tc>
        <w:tc>
          <w:tcPr>
            <w:tcW w:w="1275" w:type="dxa"/>
            <w:shd w:val="clear" w:color="auto" w:fill="FFFFFF"/>
            <w:vAlign w:val="center"/>
          </w:tcPr>
          <w:p w14:paraId="49CDF4E2" w14:textId="0811D8CD" w:rsidR="001A2964" w:rsidRDefault="001A2964" w:rsidP="001A2964">
            <w:pPr>
              <w:ind w:firstLineChars="50" w:firstLine="110"/>
              <w:rPr>
                <w:lang w:eastAsia="ko-KR"/>
              </w:rPr>
            </w:pPr>
            <w:r>
              <w:rPr>
                <w:lang w:eastAsia="ko-KR"/>
              </w:rPr>
              <w:t>M</w:t>
            </w:r>
            <w:r w:rsidRPr="001A2964">
              <w:rPr>
                <w:lang w:eastAsia="ko-KR"/>
              </w:rPr>
              <w:t>axlinear</w:t>
            </w:r>
          </w:p>
        </w:tc>
        <w:tc>
          <w:tcPr>
            <w:tcW w:w="3261" w:type="dxa"/>
            <w:shd w:val="clear" w:color="auto" w:fill="FFFFFF"/>
            <w:tcMar>
              <w:top w:w="15" w:type="dxa"/>
              <w:left w:w="108" w:type="dxa"/>
              <w:bottom w:w="0" w:type="dxa"/>
              <w:right w:w="108" w:type="dxa"/>
            </w:tcMar>
            <w:vAlign w:val="center"/>
          </w:tcPr>
          <w:p w14:paraId="7D38696D" w14:textId="77777777" w:rsidR="001A2964" w:rsidRPr="0019516D" w:rsidRDefault="001A2964" w:rsidP="003D66D1"/>
        </w:tc>
        <w:tc>
          <w:tcPr>
            <w:tcW w:w="992" w:type="dxa"/>
            <w:shd w:val="clear" w:color="auto" w:fill="FFFFFF"/>
            <w:tcMar>
              <w:top w:w="15" w:type="dxa"/>
              <w:left w:w="108" w:type="dxa"/>
              <w:bottom w:w="0" w:type="dxa"/>
              <w:right w:w="108" w:type="dxa"/>
            </w:tcMar>
            <w:vAlign w:val="center"/>
          </w:tcPr>
          <w:p w14:paraId="783166F1" w14:textId="77777777" w:rsidR="001A2964" w:rsidRPr="00855146" w:rsidRDefault="001A2964" w:rsidP="003D66D1">
            <w:pPr>
              <w:rPr>
                <w:sz w:val="16"/>
                <w:szCs w:val="16"/>
              </w:rPr>
            </w:pPr>
          </w:p>
        </w:tc>
        <w:tc>
          <w:tcPr>
            <w:tcW w:w="2267" w:type="dxa"/>
            <w:shd w:val="clear" w:color="auto" w:fill="FFFFFF"/>
            <w:tcMar>
              <w:top w:w="15" w:type="dxa"/>
              <w:left w:w="108" w:type="dxa"/>
              <w:bottom w:w="0" w:type="dxa"/>
              <w:right w:w="108" w:type="dxa"/>
            </w:tcMar>
            <w:vAlign w:val="center"/>
          </w:tcPr>
          <w:p w14:paraId="1A471E91" w14:textId="5B15D47C" w:rsidR="001A2964" w:rsidRDefault="001A2964" w:rsidP="00E631FB">
            <w:pPr>
              <w:rPr>
                <w:sz w:val="18"/>
                <w:lang w:eastAsia="ko-KR"/>
              </w:rPr>
            </w:pPr>
            <w:r w:rsidRPr="001A2964">
              <w:rPr>
                <w:sz w:val="18"/>
                <w:lang w:eastAsia="ko-KR"/>
              </w:rPr>
              <w:t>sschelstraete@maxlinear.com</w:t>
            </w:r>
          </w:p>
        </w:tc>
      </w:tr>
      <w:tr w:rsidR="001A2964" w:rsidRPr="0019516D" w14:paraId="768C610D" w14:textId="77777777" w:rsidTr="00FB1C8F">
        <w:trPr>
          <w:trHeight w:val="284"/>
        </w:trPr>
        <w:tc>
          <w:tcPr>
            <w:tcW w:w="1555" w:type="dxa"/>
            <w:shd w:val="clear" w:color="auto" w:fill="FFFFFF"/>
            <w:tcMar>
              <w:top w:w="15" w:type="dxa"/>
              <w:left w:w="108" w:type="dxa"/>
              <w:bottom w:w="0" w:type="dxa"/>
              <w:right w:w="108" w:type="dxa"/>
            </w:tcMar>
            <w:vAlign w:val="center"/>
          </w:tcPr>
          <w:p w14:paraId="22153114" w14:textId="5D166568" w:rsidR="001A2964" w:rsidRDefault="001A2964" w:rsidP="003D66D1">
            <w:pPr>
              <w:rPr>
                <w:lang w:eastAsia="ko-KR"/>
              </w:rPr>
            </w:pPr>
            <w:r>
              <w:rPr>
                <w:rFonts w:hint="eastAsia"/>
                <w:lang w:eastAsia="ko-KR"/>
              </w:rPr>
              <w:t xml:space="preserve">Jianhan </w:t>
            </w:r>
            <w:r>
              <w:rPr>
                <w:lang w:eastAsia="ko-KR"/>
              </w:rPr>
              <w:t>Liu</w:t>
            </w:r>
          </w:p>
        </w:tc>
        <w:tc>
          <w:tcPr>
            <w:tcW w:w="1275" w:type="dxa"/>
            <w:shd w:val="clear" w:color="auto" w:fill="FFFFFF"/>
            <w:vAlign w:val="center"/>
          </w:tcPr>
          <w:p w14:paraId="2208910D" w14:textId="2FB6ED8A" w:rsidR="001A2964" w:rsidRDefault="001A2964" w:rsidP="003D66D1">
            <w:pPr>
              <w:jc w:val="center"/>
              <w:rPr>
                <w:lang w:eastAsia="ko-KR"/>
              </w:rPr>
            </w:pPr>
            <w:r>
              <w:rPr>
                <w:rFonts w:hint="eastAsia"/>
                <w:lang w:eastAsia="ko-KR"/>
              </w:rPr>
              <w:t>Mediatek</w:t>
            </w:r>
          </w:p>
        </w:tc>
        <w:tc>
          <w:tcPr>
            <w:tcW w:w="3261" w:type="dxa"/>
            <w:shd w:val="clear" w:color="auto" w:fill="FFFFFF"/>
            <w:tcMar>
              <w:top w:w="15" w:type="dxa"/>
              <w:left w:w="108" w:type="dxa"/>
              <w:bottom w:w="0" w:type="dxa"/>
              <w:right w:w="108" w:type="dxa"/>
            </w:tcMar>
            <w:vAlign w:val="center"/>
          </w:tcPr>
          <w:p w14:paraId="3DB16FD2" w14:textId="77777777" w:rsidR="001A2964" w:rsidRPr="0019516D" w:rsidRDefault="001A2964" w:rsidP="003D66D1"/>
        </w:tc>
        <w:tc>
          <w:tcPr>
            <w:tcW w:w="992" w:type="dxa"/>
            <w:shd w:val="clear" w:color="auto" w:fill="FFFFFF"/>
            <w:tcMar>
              <w:top w:w="15" w:type="dxa"/>
              <w:left w:w="108" w:type="dxa"/>
              <w:bottom w:w="0" w:type="dxa"/>
              <w:right w:w="108" w:type="dxa"/>
            </w:tcMar>
            <w:vAlign w:val="center"/>
          </w:tcPr>
          <w:p w14:paraId="5B1BABCC" w14:textId="77777777" w:rsidR="001A2964" w:rsidRPr="00855146" w:rsidRDefault="001A2964" w:rsidP="003D66D1">
            <w:pPr>
              <w:rPr>
                <w:sz w:val="16"/>
                <w:szCs w:val="16"/>
              </w:rPr>
            </w:pPr>
          </w:p>
        </w:tc>
        <w:tc>
          <w:tcPr>
            <w:tcW w:w="2267" w:type="dxa"/>
            <w:shd w:val="clear" w:color="auto" w:fill="FFFFFF"/>
            <w:tcMar>
              <w:top w:w="15" w:type="dxa"/>
              <w:left w:w="108" w:type="dxa"/>
              <w:bottom w:w="0" w:type="dxa"/>
              <w:right w:w="108" w:type="dxa"/>
            </w:tcMar>
            <w:vAlign w:val="center"/>
          </w:tcPr>
          <w:p w14:paraId="4F9A8926" w14:textId="6FA961C6" w:rsidR="001A2964" w:rsidRDefault="001A2964" w:rsidP="00E631FB">
            <w:pPr>
              <w:rPr>
                <w:sz w:val="18"/>
                <w:lang w:eastAsia="ko-KR"/>
              </w:rPr>
            </w:pPr>
            <w:r w:rsidRPr="001A2964">
              <w:rPr>
                <w:sz w:val="18"/>
                <w:lang w:eastAsia="ko-KR"/>
              </w:rPr>
              <w:t>jianhan.liu@mediatek.com</w:t>
            </w:r>
          </w:p>
        </w:tc>
      </w:tr>
      <w:tr w:rsidR="001A2964" w:rsidRPr="0019516D" w14:paraId="30A1E68D" w14:textId="77777777" w:rsidTr="00FB1C8F">
        <w:trPr>
          <w:trHeight w:val="284"/>
        </w:trPr>
        <w:tc>
          <w:tcPr>
            <w:tcW w:w="1555" w:type="dxa"/>
            <w:shd w:val="clear" w:color="auto" w:fill="FFFFFF"/>
            <w:tcMar>
              <w:top w:w="15" w:type="dxa"/>
              <w:left w:w="108" w:type="dxa"/>
              <w:bottom w:w="0" w:type="dxa"/>
              <w:right w:w="108" w:type="dxa"/>
            </w:tcMar>
            <w:vAlign w:val="center"/>
          </w:tcPr>
          <w:p w14:paraId="32982DFD" w14:textId="61DBF6B3" w:rsidR="001A2964" w:rsidRDefault="001A2964" w:rsidP="003D66D1">
            <w:pPr>
              <w:rPr>
                <w:lang w:eastAsia="ko-KR"/>
              </w:rPr>
            </w:pPr>
            <w:r>
              <w:rPr>
                <w:rFonts w:hint="eastAsia"/>
                <w:lang w:eastAsia="ko-KR"/>
              </w:rPr>
              <w:t>Youhan Kim</w:t>
            </w:r>
          </w:p>
        </w:tc>
        <w:tc>
          <w:tcPr>
            <w:tcW w:w="1275" w:type="dxa"/>
            <w:shd w:val="clear" w:color="auto" w:fill="FFFFFF"/>
            <w:vAlign w:val="center"/>
          </w:tcPr>
          <w:p w14:paraId="13291542" w14:textId="4E941761" w:rsidR="001A2964" w:rsidRDefault="001A2964" w:rsidP="003D66D1">
            <w:pPr>
              <w:jc w:val="center"/>
              <w:rPr>
                <w:lang w:eastAsia="ko-KR"/>
              </w:rPr>
            </w:pPr>
            <w:r>
              <w:rPr>
                <w:rFonts w:hint="eastAsia"/>
                <w:lang w:eastAsia="ko-KR"/>
              </w:rPr>
              <w:t>Qualcomm</w:t>
            </w:r>
          </w:p>
        </w:tc>
        <w:tc>
          <w:tcPr>
            <w:tcW w:w="3261" w:type="dxa"/>
            <w:shd w:val="clear" w:color="auto" w:fill="FFFFFF"/>
            <w:tcMar>
              <w:top w:w="15" w:type="dxa"/>
              <w:left w:w="108" w:type="dxa"/>
              <w:bottom w:w="0" w:type="dxa"/>
              <w:right w:w="108" w:type="dxa"/>
            </w:tcMar>
            <w:vAlign w:val="center"/>
          </w:tcPr>
          <w:p w14:paraId="2A21505B" w14:textId="77777777" w:rsidR="001A2964" w:rsidRPr="0019516D" w:rsidRDefault="001A2964" w:rsidP="003D66D1"/>
        </w:tc>
        <w:tc>
          <w:tcPr>
            <w:tcW w:w="992" w:type="dxa"/>
            <w:shd w:val="clear" w:color="auto" w:fill="FFFFFF"/>
            <w:tcMar>
              <w:top w:w="15" w:type="dxa"/>
              <w:left w:w="108" w:type="dxa"/>
              <w:bottom w:w="0" w:type="dxa"/>
              <w:right w:w="108" w:type="dxa"/>
            </w:tcMar>
            <w:vAlign w:val="center"/>
          </w:tcPr>
          <w:p w14:paraId="5B14828E" w14:textId="77777777" w:rsidR="001A2964" w:rsidRPr="00855146" w:rsidRDefault="001A2964" w:rsidP="003D66D1">
            <w:pPr>
              <w:rPr>
                <w:sz w:val="16"/>
                <w:szCs w:val="16"/>
              </w:rPr>
            </w:pPr>
          </w:p>
        </w:tc>
        <w:tc>
          <w:tcPr>
            <w:tcW w:w="2267" w:type="dxa"/>
            <w:shd w:val="clear" w:color="auto" w:fill="FFFFFF"/>
            <w:tcMar>
              <w:top w:w="15" w:type="dxa"/>
              <w:left w:w="108" w:type="dxa"/>
              <w:bottom w:w="0" w:type="dxa"/>
              <w:right w:w="108" w:type="dxa"/>
            </w:tcMar>
            <w:vAlign w:val="center"/>
          </w:tcPr>
          <w:p w14:paraId="3CE17713" w14:textId="6DBF0A58" w:rsidR="001A2964" w:rsidRDefault="001A2964" w:rsidP="00E631FB">
            <w:pPr>
              <w:rPr>
                <w:sz w:val="18"/>
                <w:lang w:eastAsia="ko-KR"/>
              </w:rPr>
            </w:pPr>
            <w:r w:rsidRPr="001A2964">
              <w:rPr>
                <w:sz w:val="18"/>
                <w:lang w:eastAsia="ko-KR"/>
              </w:rPr>
              <w:t>youhank@qti.qualcomm.com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2E5F6487"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A26D1">
        <w:rPr>
          <w:lang w:eastAsia="ko-KR"/>
        </w:rPr>
        <w:t xml:space="preserve">following </w:t>
      </w:r>
      <w:r w:rsidR="008A3DEA">
        <w:rPr>
          <w:lang w:eastAsia="ko-KR"/>
        </w:rPr>
        <w:t>2</w:t>
      </w:r>
      <w:r w:rsidR="003002DE">
        <w:rPr>
          <w:lang w:eastAsia="ko-KR"/>
        </w:rPr>
        <w:t xml:space="preserve"> C</w:t>
      </w:r>
      <w:r w:rsidR="002A26D1">
        <w:rPr>
          <w:lang w:eastAsia="ko-KR"/>
        </w:rPr>
        <w:t xml:space="preserve">IDs: </w:t>
      </w:r>
    </w:p>
    <w:p w14:paraId="43C87B19" w14:textId="468EDBEA" w:rsidR="00004100" w:rsidRDefault="00D73BE5" w:rsidP="00F12E88">
      <w:pPr>
        <w:jc w:val="both"/>
        <w:rPr>
          <w:lang w:eastAsia="ko-KR"/>
        </w:rPr>
      </w:pPr>
      <w:r w:rsidRPr="00D73BE5">
        <w:rPr>
          <w:lang w:eastAsia="ko-KR"/>
        </w:rPr>
        <w:t>7019</w:t>
      </w:r>
      <w:r w:rsidR="00F12E88">
        <w:rPr>
          <w:lang w:eastAsia="ko-KR"/>
        </w:rPr>
        <w:t xml:space="preserve">, and </w:t>
      </w:r>
      <w:r>
        <w:rPr>
          <w:lang w:eastAsia="ko-KR"/>
        </w:rPr>
        <w:t>7378</w:t>
      </w:r>
    </w:p>
    <w:p w14:paraId="7D273C3B" w14:textId="77777777" w:rsidR="00004100" w:rsidRDefault="00004100" w:rsidP="00004100">
      <w:pPr>
        <w:jc w:val="both"/>
        <w:rPr>
          <w:lang w:eastAsia="ko-KR"/>
        </w:rPr>
      </w:pP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52989F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137885">
        <w:rPr>
          <w:lang w:eastAsia="ko-KR"/>
        </w:rPr>
        <w:t>1.</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FBC2BBC"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FB50524" w14:textId="77777777"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t xml:space="preserve">CID </w:t>
      </w:r>
      <w:r w:rsidRPr="00D73BE5">
        <w:rPr>
          <w:i/>
          <w:sz w:val="22"/>
          <w:szCs w:val="22"/>
          <w:lang w:eastAsia="ko-KR"/>
        </w:rPr>
        <w:t>7019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59D5ACC8" w14:textId="77777777" w:rsidTr="007547AB">
        <w:trPr>
          <w:trHeight w:val="386"/>
        </w:trPr>
        <w:tc>
          <w:tcPr>
            <w:tcW w:w="735" w:type="dxa"/>
            <w:shd w:val="clear" w:color="auto" w:fill="auto"/>
            <w:hideMark/>
          </w:tcPr>
          <w:p w14:paraId="1E93038E" w14:textId="77777777" w:rsidR="00352663" w:rsidRPr="00D73BE5" w:rsidRDefault="00352663" w:rsidP="007547AB">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8FC3163" w14:textId="77777777" w:rsidR="00352663" w:rsidRPr="00D73BE5" w:rsidRDefault="00352663" w:rsidP="007547AB">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4DFF4B6D" w14:textId="77777777" w:rsidR="00352663" w:rsidRPr="00D73BE5" w:rsidRDefault="00352663" w:rsidP="007547AB">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5FD71BC" w14:textId="77777777" w:rsidR="00352663" w:rsidRPr="00D73BE5" w:rsidRDefault="00352663" w:rsidP="007547AB">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7010AAA" w14:textId="77777777" w:rsidR="00352663" w:rsidRPr="00D73BE5" w:rsidRDefault="00352663" w:rsidP="007547AB">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E0325FF" w14:textId="77777777" w:rsidR="00352663" w:rsidRPr="00D73BE5" w:rsidRDefault="00352663" w:rsidP="007547AB">
            <w:pPr>
              <w:rPr>
                <w:rFonts w:ascii="Arial" w:hAnsi="Arial" w:cs="Arial"/>
                <w:b/>
                <w:bCs/>
                <w:sz w:val="20"/>
              </w:rPr>
            </w:pPr>
            <w:r w:rsidRPr="00D73BE5">
              <w:rPr>
                <w:rFonts w:ascii="Arial" w:hAnsi="Arial" w:cs="Arial"/>
                <w:b/>
                <w:bCs/>
                <w:sz w:val="20"/>
              </w:rPr>
              <w:t>Resolution</w:t>
            </w:r>
          </w:p>
        </w:tc>
      </w:tr>
      <w:tr w:rsidR="00352663" w:rsidRPr="00137885" w14:paraId="19DE2E5B" w14:textId="77777777" w:rsidTr="007547AB">
        <w:trPr>
          <w:trHeight w:val="734"/>
        </w:trPr>
        <w:tc>
          <w:tcPr>
            <w:tcW w:w="735" w:type="dxa"/>
            <w:shd w:val="clear" w:color="auto" w:fill="auto"/>
          </w:tcPr>
          <w:p w14:paraId="75526C50" w14:textId="77777777" w:rsidR="00352663" w:rsidRPr="00D73BE5" w:rsidRDefault="00352663" w:rsidP="007547AB">
            <w:pPr>
              <w:jc w:val="right"/>
              <w:rPr>
                <w:rFonts w:ascii="Arial" w:hAnsi="Arial" w:cs="Arial"/>
                <w:color w:val="000000" w:themeColor="text1"/>
                <w:sz w:val="20"/>
                <w:lang w:eastAsia="ko-KR"/>
              </w:rPr>
            </w:pPr>
            <w:r w:rsidRPr="00D73BE5">
              <w:rPr>
                <w:rFonts w:ascii="Arial" w:eastAsia="맑은 고딕" w:hAnsi="Arial" w:cs="Arial"/>
                <w:sz w:val="20"/>
              </w:rPr>
              <w:t>7019</w:t>
            </w:r>
          </w:p>
        </w:tc>
        <w:tc>
          <w:tcPr>
            <w:tcW w:w="1133" w:type="dxa"/>
            <w:shd w:val="clear" w:color="auto" w:fill="auto"/>
          </w:tcPr>
          <w:p w14:paraId="76123C55" w14:textId="77777777" w:rsidR="00352663" w:rsidRPr="00D73BE5" w:rsidRDefault="00352663" w:rsidP="007547AB">
            <w:pPr>
              <w:rPr>
                <w:rFonts w:ascii="Arial" w:hAnsi="Arial" w:cs="Arial"/>
                <w:color w:val="000000" w:themeColor="text1"/>
                <w:sz w:val="20"/>
                <w:lang w:eastAsia="ko-KR"/>
              </w:rPr>
            </w:pPr>
            <w:r w:rsidRPr="00D73BE5">
              <w:rPr>
                <w:rFonts w:ascii="Arial" w:eastAsia="맑은 고딕" w:hAnsi="Arial" w:cs="Arial"/>
                <w:sz w:val="20"/>
              </w:rPr>
              <w:t>3.3</w:t>
            </w:r>
          </w:p>
        </w:tc>
        <w:tc>
          <w:tcPr>
            <w:tcW w:w="850" w:type="dxa"/>
            <w:shd w:val="clear" w:color="auto" w:fill="auto"/>
          </w:tcPr>
          <w:p w14:paraId="34A19213" w14:textId="77777777" w:rsidR="00352663" w:rsidRPr="00D73BE5" w:rsidRDefault="00352663" w:rsidP="007547AB">
            <w:pPr>
              <w:jc w:val="right"/>
              <w:rPr>
                <w:rFonts w:ascii="Arial" w:hAnsi="Arial" w:cs="Arial"/>
                <w:color w:val="000000" w:themeColor="text1"/>
                <w:sz w:val="20"/>
                <w:lang w:eastAsia="ko-KR"/>
              </w:rPr>
            </w:pPr>
            <w:r w:rsidRPr="00D73BE5">
              <w:rPr>
                <w:rFonts w:ascii="Arial" w:eastAsia="맑은 고딕" w:hAnsi="Arial" w:cs="Arial"/>
                <w:sz w:val="20"/>
              </w:rPr>
              <w:t>37.36</w:t>
            </w:r>
          </w:p>
        </w:tc>
        <w:tc>
          <w:tcPr>
            <w:tcW w:w="2410" w:type="dxa"/>
            <w:shd w:val="clear" w:color="auto" w:fill="auto"/>
          </w:tcPr>
          <w:p w14:paraId="356DACDC" w14:textId="77777777" w:rsidR="00352663" w:rsidRPr="00D73BE5" w:rsidRDefault="00352663" w:rsidP="007547AB">
            <w:pPr>
              <w:rPr>
                <w:rFonts w:ascii="Arial" w:hAnsi="Arial" w:cs="Arial"/>
                <w:color w:val="000000" w:themeColor="text1"/>
                <w:sz w:val="20"/>
              </w:rPr>
            </w:pPr>
            <w:r w:rsidRPr="00D73BE5">
              <w:rPr>
                <w:rFonts w:ascii="Arial" w:eastAsia="맑은 고딕" w:hAnsi="Arial" w:cs="Arial"/>
                <w:sz w:val="20"/>
              </w:rPr>
              <w:t>"Multiple Resource Unit" is not included in the definition list (for comparison "resource unit" is defined in 11ax)</w:t>
            </w:r>
          </w:p>
        </w:tc>
        <w:tc>
          <w:tcPr>
            <w:tcW w:w="2215" w:type="dxa"/>
            <w:shd w:val="clear" w:color="auto" w:fill="auto"/>
          </w:tcPr>
          <w:p w14:paraId="4B8D321D" w14:textId="77777777" w:rsidR="00352663" w:rsidRPr="00D73BE5" w:rsidRDefault="00352663" w:rsidP="007547AB">
            <w:pPr>
              <w:rPr>
                <w:rFonts w:ascii="Arial" w:hAnsi="Arial" w:cs="Arial"/>
                <w:color w:val="000000" w:themeColor="text1"/>
                <w:sz w:val="20"/>
                <w:lang w:val="en-US"/>
              </w:rPr>
            </w:pPr>
            <w:r w:rsidRPr="00D73BE5">
              <w:rPr>
                <w:rFonts w:ascii="Arial" w:eastAsia="맑은 고딕" w:hAnsi="Arial" w:cs="Arial"/>
                <w:sz w:val="20"/>
              </w:rPr>
              <w:t>Add definition of "Multiple resource unit"</w:t>
            </w:r>
          </w:p>
        </w:tc>
        <w:tc>
          <w:tcPr>
            <w:tcW w:w="2693" w:type="dxa"/>
            <w:shd w:val="clear" w:color="auto" w:fill="auto"/>
          </w:tcPr>
          <w:p w14:paraId="02C8533D" w14:textId="5102C5B2" w:rsidR="00352663" w:rsidRPr="00D73BE5" w:rsidRDefault="00352663" w:rsidP="007547AB">
            <w:pPr>
              <w:rPr>
                <w:rFonts w:ascii="Arial" w:hAnsi="Arial" w:cs="Arial"/>
                <w:color w:val="000000" w:themeColor="text1"/>
                <w:sz w:val="20"/>
                <w:lang w:eastAsia="ko-KR"/>
              </w:rPr>
            </w:pPr>
            <w:r w:rsidRPr="00D73BE5">
              <w:rPr>
                <w:rFonts w:ascii="Arial" w:hAnsi="Arial" w:cs="Arial"/>
                <w:color w:val="000000" w:themeColor="text1"/>
                <w:sz w:val="20"/>
                <w:lang w:eastAsia="ko-KR"/>
              </w:rPr>
              <w:t>Revised.</w:t>
            </w:r>
          </w:p>
          <w:p w14:paraId="5A2DF053" w14:textId="77777777" w:rsidR="00352663" w:rsidRDefault="00352663" w:rsidP="007547AB">
            <w:pPr>
              <w:rPr>
                <w:rFonts w:ascii="Arial" w:hAnsi="Arial" w:cs="Arial"/>
                <w:color w:val="000000" w:themeColor="text1"/>
                <w:sz w:val="20"/>
                <w:lang w:eastAsia="ko-KR"/>
              </w:rPr>
            </w:pPr>
          </w:p>
          <w:p w14:paraId="1B963DE2" w14:textId="6C2496AE" w:rsidR="00352663" w:rsidRPr="00D73BE5" w:rsidRDefault="00777520" w:rsidP="007547AB">
            <w:pPr>
              <w:rPr>
                <w:rFonts w:ascii="Arial" w:hAnsi="Arial" w:cs="Arial"/>
                <w:color w:val="000000" w:themeColor="text1"/>
                <w:sz w:val="20"/>
                <w:lang w:eastAsia="ko-KR"/>
              </w:rPr>
            </w:pPr>
            <w:r>
              <w:rPr>
                <w:rFonts w:ascii="Arial" w:hAnsi="Arial" w:cs="Arial"/>
                <w:color w:val="000000" w:themeColor="text1"/>
                <w:sz w:val="20"/>
                <w:lang w:eastAsia="ko-KR"/>
              </w:rPr>
              <w:t>In principle, a</w:t>
            </w:r>
            <w:r>
              <w:rPr>
                <w:rFonts w:ascii="Arial" w:hAnsi="Arial" w:cs="Arial" w:hint="eastAsia"/>
                <w:color w:val="000000" w:themeColor="text1"/>
                <w:sz w:val="20"/>
                <w:lang w:eastAsia="ko-KR"/>
              </w:rPr>
              <w:t>gree with the commenter</w:t>
            </w:r>
            <w:r>
              <w:rPr>
                <w:rFonts w:ascii="Arial" w:hAnsi="Arial" w:cs="Arial"/>
                <w:color w:val="000000" w:themeColor="text1"/>
                <w:sz w:val="20"/>
                <w:lang w:eastAsia="ko-KR"/>
              </w:rPr>
              <w:t xml:space="preserve">. </w:t>
            </w:r>
            <w:r w:rsidR="00352663" w:rsidRPr="00D73BE5">
              <w:rPr>
                <w:rFonts w:ascii="Arial" w:hAnsi="Arial" w:cs="Arial"/>
                <w:color w:val="000000" w:themeColor="text1"/>
                <w:sz w:val="20"/>
                <w:lang w:eastAsia="ko-KR"/>
              </w:rPr>
              <w:t>The definition for the MRU help</w:t>
            </w:r>
            <w:r>
              <w:rPr>
                <w:rFonts w:ascii="Arial" w:hAnsi="Arial" w:cs="Arial"/>
                <w:color w:val="000000" w:themeColor="text1"/>
                <w:sz w:val="20"/>
                <w:lang w:eastAsia="ko-KR"/>
              </w:rPr>
              <w:t>s understand the concept of MRU and various combination of MRU.</w:t>
            </w:r>
          </w:p>
          <w:p w14:paraId="6DD0BF12" w14:textId="77777777" w:rsidR="00352663" w:rsidRPr="00D73BE5" w:rsidRDefault="00352663" w:rsidP="007547AB">
            <w:pPr>
              <w:rPr>
                <w:rFonts w:ascii="Arial" w:hAnsi="Arial" w:cs="Arial"/>
                <w:color w:val="000000" w:themeColor="text1"/>
                <w:sz w:val="20"/>
                <w:lang w:eastAsia="ko-KR"/>
              </w:rPr>
            </w:pPr>
          </w:p>
          <w:p w14:paraId="120AD238" w14:textId="4936D98C" w:rsidR="00352663" w:rsidRDefault="00352663" w:rsidP="00352663">
            <w:pPr>
              <w:rPr>
                <w:lang w:eastAsia="ko-KR"/>
              </w:rPr>
            </w:pPr>
            <w:r w:rsidRPr="00D73BE5">
              <w:rPr>
                <w:lang w:eastAsia="ko-KR"/>
              </w:rPr>
              <w:t>Instruction to TGbe Editor: incorporate the changes in https://mentor.ieee.org/802.11/dcn/21/</w:t>
            </w:r>
            <w:r w:rsidRPr="00D73BE5">
              <w:t xml:space="preserve"> </w:t>
            </w:r>
            <w:r w:rsidRPr="00D73BE5">
              <w:rPr>
                <w:lang w:eastAsia="ko-KR"/>
              </w:rPr>
              <w:t>11-21-</w:t>
            </w:r>
            <w:r w:rsidR="00290CCD">
              <w:rPr>
                <w:lang w:eastAsia="ko-KR"/>
              </w:rPr>
              <w:t>1740</w:t>
            </w:r>
            <w:r w:rsidRPr="00D73BE5">
              <w:rPr>
                <w:lang w:eastAsia="ko-KR"/>
              </w:rPr>
              <w:t>-0</w:t>
            </w:r>
            <w:r w:rsidR="00902E73">
              <w:rPr>
                <w:lang w:eastAsia="ko-KR"/>
              </w:rPr>
              <w:t>1</w:t>
            </w:r>
            <w:bookmarkStart w:id="0" w:name="_GoBack"/>
            <w:bookmarkEnd w:id="0"/>
            <w:r w:rsidRPr="00D73BE5">
              <w:rPr>
                <w:lang w:eastAsia="ko-KR"/>
              </w:rPr>
              <w:t>-00be-CC36-CR-for-CID 7019 and 7378.docx.</w:t>
            </w:r>
          </w:p>
          <w:p w14:paraId="7D03E7BD" w14:textId="7C3F1810" w:rsidR="00352663" w:rsidRPr="00352663" w:rsidRDefault="00352663" w:rsidP="007547AB">
            <w:pPr>
              <w:rPr>
                <w:rFonts w:ascii="Arial" w:hAnsi="Arial" w:cs="Arial"/>
                <w:color w:val="000000" w:themeColor="text1"/>
                <w:sz w:val="20"/>
                <w:lang w:eastAsia="ko-KR"/>
              </w:rPr>
            </w:pPr>
          </w:p>
        </w:tc>
      </w:tr>
    </w:tbl>
    <w:p w14:paraId="1D99F13D" w14:textId="77777777" w:rsidR="000B3154" w:rsidRDefault="000B3154" w:rsidP="00352663">
      <w:pPr>
        <w:autoSpaceDE w:val="0"/>
        <w:autoSpaceDN w:val="0"/>
        <w:adjustRightInd w:val="0"/>
        <w:jc w:val="both"/>
        <w:rPr>
          <w:b/>
          <w:bCs/>
          <w:i/>
          <w:iCs/>
          <w:highlight w:val="yellow"/>
          <w:lang w:eastAsia="ko-KR"/>
        </w:rPr>
      </w:pPr>
    </w:p>
    <w:p w14:paraId="70AD8308" w14:textId="4B88CF34" w:rsidR="000B3154" w:rsidRPr="000B3154" w:rsidRDefault="000B3154" w:rsidP="00352663">
      <w:pPr>
        <w:autoSpaceDE w:val="0"/>
        <w:autoSpaceDN w:val="0"/>
        <w:adjustRightInd w:val="0"/>
        <w:jc w:val="both"/>
        <w:rPr>
          <w:rStyle w:val="SC13204878"/>
        </w:rPr>
      </w:pPr>
      <w:r w:rsidRPr="000B3154">
        <w:rPr>
          <w:rStyle w:val="SC13204878"/>
          <w:rFonts w:hint="eastAsia"/>
        </w:rPr>
        <w:t>P44 at 11ax-2021</w:t>
      </w:r>
    </w:p>
    <w:p w14:paraId="35C86E01" w14:textId="6F69CB2D" w:rsidR="000B3154" w:rsidRDefault="000B3154" w:rsidP="00352663">
      <w:pPr>
        <w:autoSpaceDE w:val="0"/>
        <w:autoSpaceDN w:val="0"/>
        <w:adjustRightInd w:val="0"/>
        <w:jc w:val="both"/>
        <w:rPr>
          <w:b/>
          <w:bCs/>
          <w:i/>
          <w:iCs/>
          <w:highlight w:val="yellow"/>
          <w:lang w:eastAsia="ko-KR"/>
        </w:rPr>
      </w:pPr>
      <w:r w:rsidRPr="000B3154">
        <w:rPr>
          <w:b/>
          <w:bCs/>
          <w:i/>
          <w:iCs/>
          <w:noProof/>
          <w:highlight w:val="yellow"/>
          <w:lang w:val="en-US" w:eastAsia="ko-KR"/>
        </w:rPr>
        <w:drawing>
          <wp:inline distT="0" distB="0" distL="0" distR="0" wp14:anchorId="75817F36" wp14:editId="5FC3AC15">
            <wp:extent cx="5943600" cy="33202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2020"/>
                    </a:xfrm>
                    <a:prstGeom prst="rect">
                      <a:avLst/>
                    </a:prstGeom>
                    <a:noFill/>
                    <a:ln>
                      <a:noFill/>
                    </a:ln>
                  </pic:spPr>
                </pic:pic>
              </a:graphicData>
            </a:graphic>
          </wp:inline>
        </w:drawing>
      </w:r>
    </w:p>
    <w:p w14:paraId="6530E2B8" w14:textId="77777777" w:rsidR="000B3154" w:rsidRDefault="000B3154" w:rsidP="00352663">
      <w:pPr>
        <w:autoSpaceDE w:val="0"/>
        <w:autoSpaceDN w:val="0"/>
        <w:adjustRightInd w:val="0"/>
        <w:jc w:val="both"/>
        <w:rPr>
          <w:b/>
          <w:bCs/>
          <w:i/>
          <w:iCs/>
          <w:highlight w:val="yellow"/>
          <w:lang w:eastAsia="ko-KR"/>
        </w:rPr>
      </w:pPr>
    </w:p>
    <w:p w14:paraId="1F769C31" w14:textId="77777777" w:rsidR="000B3154" w:rsidRDefault="000B3154" w:rsidP="00352663">
      <w:pPr>
        <w:autoSpaceDE w:val="0"/>
        <w:autoSpaceDN w:val="0"/>
        <w:adjustRightInd w:val="0"/>
        <w:jc w:val="both"/>
        <w:rPr>
          <w:b/>
          <w:bCs/>
          <w:i/>
          <w:iCs/>
          <w:highlight w:val="yellow"/>
          <w:lang w:eastAsia="ko-KR"/>
        </w:rPr>
      </w:pPr>
    </w:p>
    <w:p w14:paraId="167DAEE0" w14:textId="64293859" w:rsidR="00352663" w:rsidRDefault="00352663" w:rsidP="00352663">
      <w:pPr>
        <w:autoSpaceDE w:val="0"/>
        <w:autoSpaceDN w:val="0"/>
        <w:adjustRightInd w:val="0"/>
        <w:jc w:val="both"/>
        <w:rPr>
          <w:b/>
          <w:bCs/>
          <w:i/>
          <w:iCs/>
          <w:lang w:eastAsia="ko-KR"/>
        </w:rPr>
      </w:pPr>
      <w:r w:rsidRPr="00F37B59">
        <w:rPr>
          <w:b/>
          <w:bCs/>
          <w:i/>
          <w:iCs/>
          <w:highlight w:val="yellow"/>
          <w:lang w:eastAsia="ko-KR"/>
        </w:rPr>
        <w:t>TGbe Editor:</w:t>
      </w:r>
      <w:r>
        <w:rPr>
          <w:b/>
          <w:bCs/>
          <w:i/>
          <w:iCs/>
          <w:lang w:eastAsia="ko-KR"/>
        </w:rPr>
        <w:t xml:space="preserve"> please add the follow</w:t>
      </w:r>
      <w:r w:rsidR="001E693E">
        <w:rPr>
          <w:b/>
          <w:bCs/>
          <w:i/>
          <w:iCs/>
          <w:lang w:eastAsia="ko-KR"/>
        </w:rPr>
        <w:t>ing definition to subclause 3.2 in 11be D1.2</w:t>
      </w:r>
      <w:r>
        <w:rPr>
          <w:b/>
          <w:bCs/>
          <w:i/>
          <w:iCs/>
          <w:lang w:eastAsia="ko-KR"/>
        </w:rPr>
        <w:t xml:space="preserve"> </w:t>
      </w:r>
    </w:p>
    <w:p w14:paraId="1CF2D1F9" w14:textId="1CDED18D" w:rsidR="00352663" w:rsidRDefault="00376F0D" w:rsidP="00BD5D63">
      <w:pPr>
        <w:autoSpaceDE w:val="0"/>
        <w:autoSpaceDN w:val="0"/>
        <w:adjustRightInd w:val="0"/>
        <w:jc w:val="both"/>
        <w:rPr>
          <w:rStyle w:val="SC13204878"/>
          <w:color w:val="FF0000"/>
        </w:rPr>
      </w:pPr>
      <w:r w:rsidRPr="00376F0D">
        <w:rPr>
          <w:rStyle w:val="SC13204878"/>
          <w:color w:val="FF0000"/>
        </w:rPr>
        <w:t>multiple resource unit (MRU): A group of subcarriers that consist of multiple RUs of 26-tone RU, 52-tone RU, 106-tone RU, 242-ton</w:t>
      </w:r>
      <w:r w:rsidR="00743D2F">
        <w:rPr>
          <w:rStyle w:val="SC13204878"/>
          <w:color w:val="FF0000"/>
        </w:rPr>
        <w:t xml:space="preserve">e RU, 484-tone RU, 996-tone RU, and </w:t>
      </w:r>
      <w:r w:rsidRPr="00376F0D">
        <w:rPr>
          <w:rStyle w:val="SC13204878"/>
          <w:color w:val="FF0000"/>
        </w:rPr>
        <w:t>2x996-tone RU</w:t>
      </w:r>
      <w:r w:rsidR="00743D2F" w:rsidRPr="00376F0D">
        <w:rPr>
          <w:rStyle w:val="SC13204878"/>
          <w:color w:val="FF0000"/>
        </w:rPr>
        <w:t xml:space="preserve"> </w:t>
      </w:r>
      <w:r w:rsidRPr="00376F0D">
        <w:rPr>
          <w:rStyle w:val="SC13204878"/>
          <w:color w:val="FF0000"/>
        </w:rPr>
        <w:t>(#701</w:t>
      </w:r>
      <w:r w:rsidR="00743D2F">
        <w:rPr>
          <w:rStyle w:val="SC13204878"/>
          <w:color w:val="FF0000"/>
        </w:rPr>
        <w:t>9</w:t>
      </w:r>
      <w:r w:rsidRPr="00376F0D">
        <w:rPr>
          <w:rStyle w:val="SC13204878"/>
          <w:color w:val="FF0000"/>
        </w:rPr>
        <w:t>).</w:t>
      </w:r>
    </w:p>
    <w:p w14:paraId="2B19C752" w14:textId="77777777" w:rsidR="00743D2F" w:rsidRDefault="00743D2F" w:rsidP="00BD5D63">
      <w:pPr>
        <w:autoSpaceDE w:val="0"/>
        <w:autoSpaceDN w:val="0"/>
        <w:adjustRightInd w:val="0"/>
        <w:jc w:val="both"/>
        <w:rPr>
          <w:rStyle w:val="SC13204878"/>
          <w:color w:val="FF0000"/>
        </w:rPr>
      </w:pPr>
    </w:p>
    <w:p w14:paraId="1AE2285E" w14:textId="4844BB35" w:rsidR="00035D61" w:rsidRPr="00BB3B35" w:rsidRDefault="00743D2F" w:rsidP="00BB3B35">
      <w:pPr>
        <w:rPr>
          <w:rFonts w:ascii="Calibri" w:hAnsi="Calibri" w:cs="Calibri"/>
          <w:szCs w:val="22"/>
          <w:lang w:val="en-US"/>
        </w:rPr>
      </w:pPr>
      <w:r w:rsidRPr="00F37B59">
        <w:rPr>
          <w:b/>
          <w:bCs/>
          <w:i/>
          <w:iCs/>
          <w:highlight w:val="yellow"/>
          <w:lang w:eastAsia="ko-KR"/>
        </w:rPr>
        <w:t>TGbe Editor</w:t>
      </w:r>
      <w:r>
        <w:rPr>
          <w:rFonts w:ascii="Calibri" w:hAnsi="Calibri" w:cs="Calibri"/>
          <w:szCs w:val="22"/>
        </w:rPr>
        <w:t xml:space="preserve">: </w:t>
      </w:r>
      <w:r w:rsidR="006104DA" w:rsidRPr="006104DA">
        <w:rPr>
          <w:b/>
          <w:bCs/>
          <w:i/>
          <w:iCs/>
          <w:lang w:eastAsia="ko-KR"/>
        </w:rPr>
        <w:t>Insert the following text at D1.3 P4</w:t>
      </w:r>
      <w:r w:rsidR="006104DA">
        <w:rPr>
          <w:b/>
          <w:bCs/>
          <w:i/>
          <w:iCs/>
          <w:lang w:eastAsia="ko-KR"/>
        </w:rPr>
        <w:t xml:space="preserve">5L12 </w:t>
      </w:r>
      <w:r w:rsidR="00FF3533">
        <w:rPr>
          <w:b/>
          <w:bCs/>
          <w:i/>
          <w:iCs/>
          <w:lang w:eastAsia="ko-KR"/>
        </w:rPr>
        <w:t>as below</w:t>
      </w:r>
      <w:r w:rsidRPr="00743D2F">
        <w:rPr>
          <w:b/>
          <w:bCs/>
          <w:i/>
          <w:iCs/>
          <w:lang w:eastAsia="ko-KR"/>
        </w:rPr>
        <w:t>:</w:t>
      </w:r>
    </w:p>
    <w:p w14:paraId="595B07CA" w14:textId="1EA95B82" w:rsidR="00743D2F" w:rsidRPr="00743D2F" w:rsidRDefault="00743D2F" w:rsidP="00743D2F">
      <w:pPr>
        <w:autoSpaceDE w:val="0"/>
        <w:autoSpaceDN w:val="0"/>
        <w:adjustRightInd w:val="0"/>
        <w:jc w:val="both"/>
      </w:pPr>
      <w:r w:rsidRPr="00743D2F">
        <w:rPr>
          <w:sz w:val="20"/>
        </w:rPr>
        <w:t xml:space="preserve">resource unit (RU): A group of 26, 52, 106, 242, 484, 996, </w:t>
      </w:r>
      <w:r w:rsidRPr="00743D2F">
        <w:rPr>
          <w:strike/>
          <w:color w:val="FF0000"/>
          <w:sz w:val="20"/>
        </w:rPr>
        <w:t>or</w:t>
      </w:r>
      <w:r w:rsidRPr="00743D2F">
        <w:rPr>
          <w:sz w:val="20"/>
        </w:rPr>
        <w:t xml:space="preserve"> 2×996</w:t>
      </w:r>
      <w:r w:rsidRPr="00902E73">
        <w:rPr>
          <w:color w:val="FF0000"/>
          <w:sz w:val="20"/>
          <w:u w:val="single"/>
        </w:rPr>
        <w:t>, or 4x996</w:t>
      </w:r>
      <w:r w:rsidRPr="00743D2F">
        <w:rPr>
          <w:color w:val="FF0000"/>
          <w:sz w:val="20"/>
        </w:rPr>
        <w:t xml:space="preserve"> </w:t>
      </w:r>
      <w:r w:rsidRPr="00743D2F">
        <w:rPr>
          <w:sz w:val="20"/>
        </w:rPr>
        <w:t>subcarriers as an allocation of subcarriers for transmission</w:t>
      </w:r>
    </w:p>
    <w:p w14:paraId="1446B324" w14:textId="77777777" w:rsidR="00743D2F" w:rsidRDefault="00743D2F" w:rsidP="00BD5D63">
      <w:pPr>
        <w:autoSpaceDE w:val="0"/>
        <w:autoSpaceDN w:val="0"/>
        <w:adjustRightInd w:val="0"/>
        <w:jc w:val="both"/>
        <w:rPr>
          <w:rStyle w:val="SC13204878"/>
          <w:color w:val="FF0000"/>
        </w:rPr>
      </w:pPr>
    </w:p>
    <w:p w14:paraId="4D16EBB8" w14:textId="77777777" w:rsidR="00743D2F" w:rsidRDefault="00743D2F" w:rsidP="00743D2F">
      <w:pPr>
        <w:autoSpaceDE w:val="0"/>
        <w:autoSpaceDN w:val="0"/>
        <w:adjustRightInd w:val="0"/>
        <w:jc w:val="both"/>
        <w:rPr>
          <w:b/>
          <w:bCs/>
          <w:i/>
          <w:iCs/>
          <w:lang w:eastAsia="ko-KR"/>
        </w:rPr>
      </w:pPr>
      <w:r w:rsidRPr="00F37B59">
        <w:rPr>
          <w:b/>
          <w:bCs/>
          <w:i/>
          <w:iCs/>
          <w:highlight w:val="yellow"/>
          <w:lang w:eastAsia="ko-KR"/>
        </w:rPr>
        <w:t>TGbe Editor:</w:t>
      </w:r>
      <w:r>
        <w:rPr>
          <w:b/>
          <w:bCs/>
          <w:i/>
          <w:iCs/>
          <w:lang w:eastAsia="ko-KR"/>
        </w:rPr>
        <w:t xml:space="preserve"> please modify the following text in 11be D1.2.</w:t>
      </w:r>
    </w:p>
    <w:p w14:paraId="0A7448F7" w14:textId="53131E25" w:rsidR="00743D2F" w:rsidRDefault="00743D2F" w:rsidP="00743D2F">
      <w:pPr>
        <w:pStyle w:val="2"/>
        <w:numPr>
          <w:ilvl w:val="0"/>
          <w:numId w:val="0"/>
        </w:numPr>
        <w:kinsoku w:val="0"/>
        <w:overflowPunct w:val="0"/>
        <w:spacing w:line="211" w:lineRule="exact"/>
        <w:ind w:firstLine="720"/>
      </w:pPr>
      <w:bookmarkStart w:id="1" w:name="36.3.2.2.1_General"/>
      <w:bookmarkEnd w:id="1"/>
      <w:r>
        <w:t>36.3.2.2.1</w:t>
      </w:r>
      <w:r>
        <w:rPr>
          <w:spacing w:val="-5"/>
        </w:rPr>
        <w:t xml:space="preserve"> </w:t>
      </w:r>
      <w:r>
        <w:t>General</w:t>
      </w:r>
    </w:p>
    <w:p w14:paraId="2A1FCFEC" w14:textId="77777777" w:rsidR="00743D2F" w:rsidRDefault="00743D2F" w:rsidP="00743D2F">
      <w:pPr>
        <w:pStyle w:val="af5"/>
        <w:kinsoku w:val="0"/>
        <w:overflowPunct w:val="0"/>
        <w:spacing w:line="193" w:lineRule="exact"/>
        <w:ind w:left="166"/>
        <w:rPr>
          <w:sz w:val="18"/>
          <w:szCs w:val="18"/>
        </w:rPr>
      </w:pPr>
      <w:r>
        <w:rPr>
          <w:sz w:val="18"/>
          <w:szCs w:val="18"/>
        </w:rPr>
        <w:t>39</w:t>
      </w:r>
    </w:p>
    <w:p w14:paraId="2178604F" w14:textId="77777777" w:rsidR="00743D2F" w:rsidRPr="00743D2F" w:rsidRDefault="00743D2F" w:rsidP="00743D2F">
      <w:pPr>
        <w:pStyle w:val="ae"/>
        <w:widowControl w:val="0"/>
        <w:numPr>
          <w:ilvl w:val="0"/>
          <w:numId w:val="9"/>
        </w:numPr>
        <w:tabs>
          <w:tab w:val="left" w:pos="720"/>
        </w:tabs>
        <w:kinsoku w:val="0"/>
        <w:overflowPunct w:val="0"/>
        <w:autoSpaceDE w:val="0"/>
        <w:autoSpaceDN w:val="0"/>
        <w:adjustRightInd w:val="0"/>
        <w:spacing w:line="249" w:lineRule="exact"/>
        <w:contextualSpacing w:val="0"/>
        <w:rPr>
          <w:sz w:val="20"/>
        </w:rPr>
      </w:pPr>
      <w:r w:rsidRPr="00743D2F">
        <w:rPr>
          <w:sz w:val="20"/>
          <w:u w:val="single"/>
        </w:rPr>
        <w:t>(#2783)(#1245)(#1290)</w:t>
      </w:r>
      <w:r w:rsidRPr="00743D2F">
        <w:rPr>
          <w:sz w:val="20"/>
        </w:rPr>
        <w:t>The</w:t>
      </w:r>
      <w:r w:rsidRPr="00743D2F">
        <w:rPr>
          <w:spacing w:val="32"/>
          <w:sz w:val="20"/>
        </w:rPr>
        <w:t xml:space="preserve"> </w:t>
      </w:r>
      <w:r w:rsidRPr="00743D2F">
        <w:rPr>
          <w:sz w:val="20"/>
        </w:rPr>
        <w:t>EHT</w:t>
      </w:r>
      <w:r w:rsidRPr="00743D2F">
        <w:rPr>
          <w:spacing w:val="32"/>
          <w:sz w:val="20"/>
        </w:rPr>
        <w:t xml:space="preserve"> </w:t>
      </w:r>
      <w:r w:rsidRPr="00743D2F">
        <w:rPr>
          <w:sz w:val="20"/>
        </w:rPr>
        <w:t>PHY</w:t>
      </w:r>
      <w:r w:rsidRPr="00743D2F">
        <w:rPr>
          <w:spacing w:val="31"/>
          <w:sz w:val="20"/>
        </w:rPr>
        <w:t xml:space="preserve"> </w:t>
      </w:r>
      <w:r w:rsidRPr="00743D2F">
        <w:rPr>
          <w:sz w:val="20"/>
        </w:rPr>
        <w:t>supports</w:t>
      </w:r>
      <w:r w:rsidRPr="00743D2F">
        <w:rPr>
          <w:spacing w:val="32"/>
          <w:sz w:val="20"/>
        </w:rPr>
        <w:t xml:space="preserve"> </w:t>
      </w:r>
      <w:r w:rsidRPr="00743D2F">
        <w:rPr>
          <w:sz w:val="20"/>
        </w:rPr>
        <w:t>the</w:t>
      </w:r>
      <w:r w:rsidRPr="00743D2F">
        <w:rPr>
          <w:spacing w:val="33"/>
          <w:sz w:val="20"/>
        </w:rPr>
        <w:t xml:space="preserve"> </w:t>
      </w:r>
      <w:r w:rsidRPr="00743D2F">
        <w:rPr>
          <w:sz w:val="20"/>
        </w:rPr>
        <w:t>usage</w:t>
      </w:r>
      <w:r w:rsidRPr="00743D2F">
        <w:rPr>
          <w:spacing w:val="32"/>
          <w:sz w:val="20"/>
        </w:rPr>
        <w:t xml:space="preserve"> </w:t>
      </w:r>
      <w:r w:rsidRPr="00743D2F">
        <w:rPr>
          <w:sz w:val="20"/>
        </w:rPr>
        <w:t>of</w:t>
      </w:r>
      <w:r w:rsidRPr="00743D2F">
        <w:rPr>
          <w:spacing w:val="32"/>
          <w:sz w:val="20"/>
        </w:rPr>
        <w:t xml:space="preserve"> </w:t>
      </w:r>
      <w:r w:rsidRPr="00743D2F">
        <w:rPr>
          <w:sz w:val="20"/>
        </w:rPr>
        <w:t>multiple</w:t>
      </w:r>
      <w:r w:rsidRPr="00743D2F">
        <w:rPr>
          <w:spacing w:val="32"/>
          <w:sz w:val="20"/>
        </w:rPr>
        <w:t xml:space="preserve"> </w:t>
      </w:r>
      <w:r w:rsidRPr="00743D2F">
        <w:rPr>
          <w:sz w:val="20"/>
        </w:rPr>
        <w:t>resource</w:t>
      </w:r>
      <w:r w:rsidRPr="00743D2F">
        <w:rPr>
          <w:spacing w:val="32"/>
          <w:sz w:val="20"/>
        </w:rPr>
        <w:t xml:space="preserve"> </w:t>
      </w:r>
      <w:r w:rsidRPr="00743D2F">
        <w:rPr>
          <w:sz w:val="20"/>
        </w:rPr>
        <w:t>unit</w:t>
      </w:r>
      <w:r w:rsidRPr="00743D2F">
        <w:rPr>
          <w:spacing w:val="32"/>
          <w:sz w:val="20"/>
        </w:rPr>
        <w:t xml:space="preserve"> </w:t>
      </w:r>
      <w:r w:rsidRPr="00743D2F">
        <w:rPr>
          <w:sz w:val="20"/>
        </w:rPr>
        <w:t>(MRU)</w:t>
      </w:r>
      <w:r w:rsidRPr="00743D2F">
        <w:rPr>
          <w:spacing w:val="32"/>
          <w:sz w:val="20"/>
        </w:rPr>
        <w:t xml:space="preserve"> </w:t>
      </w:r>
      <w:r w:rsidRPr="00743D2F">
        <w:rPr>
          <w:sz w:val="20"/>
        </w:rPr>
        <w:t>in</w:t>
      </w:r>
      <w:r w:rsidRPr="00743D2F">
        <w:rPr>
          <w:spacing w:val="33"/>
          <w:sz w:val="20"/>
        </w:rPr>
        <w:t xml:space="preserve"> </w:t>
      </w:r>
      <w:r w:rsidRPr="00743D2F">
        <w:rPr>
          <w:sz w:val="20"/>
        </w:rPr>
        <w:t>an</w:t>
      </w:r>
      <w:r w:rsidRPr="00743D2F">
        <w:rPr>
          <w:spacing w:val="32"/>
          <w:sz w:val="20"/>
        </w:rPr>
        <w:t xml:space="preserve"> </w:t>
      </w:r>
      <w:r w:rsidRPr="00743D2F">
        <w:rPr>
          <w:sz w:val="20"/>
        </w:rPr>
        <w:t>EHT</w:t>
      </w:r>
    </w:p>
    <w:p w14:paraId="22138CCB" w14:textId="3447320D" w:rsidR="00743D2F" w:rsidRDefault="00743D2F" w:rsidP="00743D2F">
      <w:pPr>
        <w:pStyle w:val="ae"/>
        <w:widowControl w:val="0"/>
        <w:numPr>
          <w:ilvl w:val="0"/>
          <w:numId w:val="9"/>
        </w:numPr>
        <w:tabs>
          <w:tab w:val="left" w:pos="720"/>
        </w:tabs>
        <w:kinsoku w:val="0"/>
        <w:overflowPunct w:val="0"/>
        <w:autoSpaceDE w:val="0"/>
        <w:autoSpaceDN w:val="0"/>
        <w:adjustRightInd w:val="0"/>
        <w:spacing w:line="288" w:lineRule="exact"/>
        <w:contextualSpacing w:val="0"/>
        <w:rPr>
          <w:color w:val="000000"/>
          <w:sz w:val="20"/>
        </w:rPr>
      </w:pPr>
      <w:r w:rsidRPr="00743D2F">
        <w:rPr>
          <w:noProof/>
          <w:lang w:val="en-US" w:eastAsia="ko-KR"/>
        </w:rPr>
        <mc:AlternateContent>
          <mc:Choice Requires="wps">
            <w:drawing>
              <wp:anchor distT="0" distB="0" distL="114300" distR="114300" simplePos="0" relativeHeight="251659264" behindDoc="1" locked="0" layoutInCell="0" allowOverlap="1" wp14:anchorId="589A1485" wp14:editId="12251945">
                <wp:simplePos x="0" y="0"/>
                <wp:positionH relativeFrom="page">
                  <wp:posOffset>791845</wp:posOffset>
                </wp:positionH>
                <wp:positionV relativeFrom="paragraph">
                  <wp:posOffset>97155</wp:posOffset>
                </wp:positionV>
                <wp:extent cx="114300" cy="127000"/>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21AC5" w14:textId="77777777" w:rsidR="00743D2F" w:rsidRDefault="00743D2F" w:rsidP="00743D2F">
                            <w:pPr>
                              <w:pStyle w:val="af5"/>
                              <w:kinsoku w:val="0"/>
                              <w:overflowPunct w:val="0"/>
                              <w:spacing w:line="199" w:lineRule="exact"/>
                              <w:rPr>
                                <w:sz w:val="18"/>
                                <w:szCs w:val="18"/>
                              </w:rPr>
                            </w:pPr>
                            <w:r>
                              <w:rPr>
                                <w:sz w:val="18"/>
                                <w:szCs w:val="18"/>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A1485" id="_x0000_t202" coordsize="21600,21600" o:spt="202" path="m,l,21600r21600,l21600,xe">
                <v:stroke joinstyle="miter"/>
                <v:path gradientshapeok="t" o:connecttype="rect"/>
              </v:shapetype>
              <v:shape id="Text Box 2" o:spid="_x0000_s1026" type="#_x0000_t202" style="position:absolute;left:0;text-align:left;margin-left:62.35pt;margin-top:7.65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" o:allowincell="f" filled="f" stroked="f">
                <v:textbox inset="0,0,0,0">
                  <w:txbxContent>
                    <w:p w14:paraId="2A121AC5" w14:textId="77777777" w:rsidR="00743D2F" w:rsidRDefault="00743D2F" w:rsidP="00743D2F">
                      <w:pPr>
                        <w:pStyle w:val="af5"/>
                        <w:kinsoku w:val="0"/>
                        <w:overflowPunct w:val="0"/>
                        <w:spacing w:line="199" w:lineRule="exact"/>
                        <w:rPr>
                          <w:sz w:val="18"/>
                          <w:szCs w:val="18"/>
                        </w:rPr>
                      </w:pPr>
                      <w:r>
                        <w:rPr>
                          <w:sz w:val="18"/>
                          <w:szCs w:val="18"/>
                        </w:rPr>
                        <w:t>42</w:t>
                      </w:r>
                    </w:p>
                  </w:txbxContent>
                </v:textbox>
                <w10:wrap anchorx="page"/>
              </v:shape>
            </w:pict>
          </mc:Fallback>
        </mc:AlternateContent>
      </w:r>
      <w:r w:rsidRPr="00743D2F">
        <w:rPr>
          <w:sz w:val="20"/>
        </w:rPr>
        <w:t>PPDU.</w:t>
      </w:r>
      <w:r w:rsidRPr="00743D2F">
        <w:rPr>
          <w:spacing w:val="27"/>
          <w:sz w:val="20"/>
        </w:rPr>
        <w:t xml:space="preserve"> </w:t>
      </w:r>
      <w:r w:rsidRPr="00743D2F">
        <w:rPr>
          <w:sz w:val="20"/>
          <w:u w:val="single"/>
        </w:rPr>
        <w:t>(#1959)</w:t>
      </w:r>
      <w:r w:rsidRPr="00743D2F">
        <w:rPr>
          <w:sz w:val="20"/>
        </w:rPr>
        <w:t>An</w:t>
      </w:r>
      <w:r w:rsidRPr="00743D2F">
        <w:rPr>
          <w:spacing w:val="27"/>
          <w:sz w:val="20"/>
        </w:rPr>
        <w:t xml:space="preserve"> </w:t>
      </w:r>
      <w:r>
        <w:rPr>
          <w:color w:val="000000"/>
          <w:sz w:val="20"/>
        </w:rPr>
        <w:t>MRU</w:t>
      </w:r>
      <w:r>
        <w:rPr>
          <w:color w:val="000000"/>
          <w:spacing w:val="27"/>
          <w:sz w:val="20"/>
        </w:rPr>
        <w:t xml:space="preserve"> </w:t>
      </w:r>
      <w:r>
        <w:rPr>
          <w:color w:val="000000"/>
          <w:sz w:val="20"/>
        </w:rPr>
        <w:t>consists</w:t>
      </w:r>
      <w:r>
        <w:rPr>
          <w:color w:val="000000"/>
          <w:spacing w:val="28"/>
          <w:sz w:val="20"/>
        </w:rPr>
        <w:t xml:space="preserve"> </w:t>
      </w:r>
      <w:r>
        <w:rPr>
          <w:color w:val="000000"/>
          <w:sz w:val="20"/>
        </w:rPr>
        <w:t>of</w:t>
      </w:r>
      <w:r>
        <w:rPr>
          <w:color w:val="000000"/>
          <w:spacing w:val="27"/>
          <w:sz w:val="20"/>
        </w:rPr>
        <w:t xml:space="preserve"> </w:t>
      </w:r>
      <w:r>
        <w:rPr>
          <w:color w:val="000000"/>
          <w:sz w:val="20"/>
        </w:rPr>
        <w:t>multiple</w:t>
      </w:r>
      <w:r>
        <w:rPr>
          <w:color w:val="000000"/>
          <w:spacing w:val="28"/>
          <w:sz w:val="20"/>
        </w:rPr>
        <w:t xml:space="preserve"> </w:t>
      </w:r>
      <w:r>
        <w:rPr>
          <w:color w:val="000000"/>
          <w:sz w:val="20"/>
        </w:rPr>
        <w:t>RUs</w:t>
      </w:r>
      <w:r>
        <w:rPr>
          <w:color w:val="000000"/>
          <w:spacing w:val="26"/>
          <w:sz w:val="20"/>
        </w:rPr>
        <w:t xml:space="preserve"> </w:t>
      </w:r>
      <w:r>
        <w:rPr>
          <w:color w:val="000000"/>
          <w:sz w:val="20"/>
        </w:rPr>
        <w:t>of</w:t>
      </w:r>
      <w:r>
        <w:rPr>
          <w:color w:val="000000"/>
          <w:spacing w:val="27"/>
          <w:sz w:val="20"/>
        </w:rPr>
        <w:t xml:space="preserve"> </w:t>
      </w:r>
      <w:r>
        <w:rPr>
          <w:color w:val="000000"/>
          <w:sz w:val="20"/>
        </w:rPr>
        <w:t>26-tone</w:t>
      </w:r>
      <w:r>
        <w:rPr>
          <w:color w:val="000000"/>
          <w:spacing w:val="26"/>
          <w:sz w:val="20"/>
        </w:rPr>
        <w:t xml:space="preserve"> </w:t>
      </w:r>
      <w:r>
        <w:rPr>
          <w:color w:val="000000"/>
          <w:sz w:val="20"/>
        </w:rPr>
        <w:t>RU,</w:t>
      </w:r>
      <w:r>
        <w:rPr>
          <w:color w:val="000000"/>
          <w:spacing w:val="26"/>
          <w:sz w:val="20"/>
        </w:rPr>
        <w:t xml:space="preserve"> </w:t>
      </w:r>
      <w:r>
        <w:rPr>
          <w:color w:val="000000"/>
          <w:sz w:val="20"/>
        </w:rPr>
        <w:t>52-tone</w:t>
      </w:r>
      <w:r>
        <w:rPr>
          <w:color w:val="000000"/>
          <w:spacing w:val="29"/>
          <w:sz w:val="20"/>
        </w:rPr>
        <w:t xml:space="preserve"> </w:t>
      </w:r>
      <w:r>
        <w:rPr>
          <w:color w:val="000000"/>
          <w:sz w:val="20"/>
        </w:rPr>
        <w:t>RU,</w:t>
      </w:r>
      <w:r>
        <w:rPr>
          <w:color w:val="000000"/>
          <w:spacing w:val="28"/>
          <w:sz w:val="20"/>
        </w:rPr>
        <w:t xml:space="preserve"> </w:t>
      </w:r>
      <w:r>
        <w:rPr>
          <w:color w:val="000000"/>
          <w:sz w:val="20"/>
        </w:rPr>
        <w:t>106-tone</w:t>
      </w:r>
      <w:r>
        <w:rPr>
          <w:color w:val="000000"/>
          <w:spacing w:val="28"/>
          <w:sz w:val="20"/>
        </w:rPr>
        <w:t xml:space="preserve"> </w:t>
      </w:r>
      <w:r>
        <w:rPr>
          <w:color w:val="000000"/>
          <w:sz w:val="20"/>
        </w:rPr>
        <w:t>RU,</w:t>
      </w:r>
      <w:r>
        <w:rPr>
          <w:color w:val="000000"/>
          <w:spacing w:val="29"/>
          <w:sz w:val="20"/>
        </w:rPr>
        <w:t xml:space="preserve"> </w:t>
      </w:r>
      <w:r>
        <w:rPr>
          <w:color w:val="000000"/>
          <w:sz w:val="20"/>
        </w:rPr>
        <w:t>242-tone</w:t>
      </w:r>
    </w:p>
    <w:p w14:paraId="3E513428" w14:textId="40D8F87C" w:rsidR="00743D2F" w:rsidRPr="00743D2F" w:rsidRDefault="00743D2F" w:rsidP="00A10063">
      <w:pPr>
        <w:pStyle w:val="ae"/>
        <w:widowControl w:val="0"/>
        <w:numPr>
          <w:ilvl w:val="0"/>
          <w:numId w:val="8"/>
        </w:numPr>
        <w:tabs>
          <w:tab w:val="left" w:pos="720"/>
        </w:tabs>
        <w:kinsoku w:val="0"/>
        <w:overflowPunct w:val="0"/>
        <w:autoSpaceDE w:val="0"/>
        <w:autoSpaceDN w:val="0"/>
        <w:adjustRightInd w:val="0"/>
        <w:spacing w:line="218" w:lineRule="exact"/>
        <w:contextualSpacing w:val="0"/>
        <w:rPr>
          <w:sz w:val="20"/>
        </w:rPr>
      </w:pPr>
      <w:r w:rsidRPr="00743D2F">
        <w:rPr>
          <w:sz w:val="20"/>
        </w:rPr>
        <w:t>RU,</w:t>
      </w:r>
      <w:r w:rsidRPr="00743D2F">
        <w:rPr>
          <w:spacing w:val="28"/>
          <w:sz w:val="20"/>
        </w:rPr>
        <w:t xml:space="preserve"> </w:t>
      </w:r>
      <w:r w:rsidRPr="00743D2F">
        <w:rPr>
          <w:sz w:val="20"/>
        </w:rPr>
        <w:t>484-tone</w:t>
      </w:r>
      <w:r w:rsidRPr="00743D2F">
        <w:rPr>
          <w:spacing w:val="28"/>
          <w:sz w:val="20"/>
        </w:rPr>
        <w:t xml:space="preserve"> </w:t>
      </w:r>
      <w:r w:rsidRPr="00743D2F">
        <w:rPr>
          <w:sz w:val="20"/>
        </w:rPr>
        <w:t>RU,</w:t>
      </w:r>
      <w:r w:rsidRPr="00743D2F">
        <w:rPr>
          <w:spacing w:val="29"/>
          <w:sz w:val="20"/>
        </w:rPr>
        <w:t xml:space="preserve"> </w:t>
      </w:r>
      <w:r w:rsidRPr="00743D2F">
        <w:rPr>
          <w:sz w:val="20"/>
        </w:rPr>
        <w:t>996-tone</w:t>
      </w:r>
      <w:r w:rsidRPr="00743D2F">
        <w:rPr>
          <w:spacing w:val="28"/>
          <w:sz w:val="20"/>
        </w:rPr>
        <w:t xml:space="preserve"> </w:t>
      </w:r>
      <w:r w:rsidRPr="00743D2F">
        <w:rPr>
          <w:sz w:val="20"/>
        </w:rPr>
        <w:t>RU,</w:t>
      </w:r>
      <w:r w:rsidRPr="00743D2F">
        <w:rPr>
          <w:spacing w:val="30"/>
          <w:sz w:val="20"/>
        </w:rPr>
        <w:t xml:space="preserve"> </w:t>
      </w:r>
      <w:r w:rsidRPr="00743D2F">
        <w:rPr>
          <w:color w:val="FF0000"/>
          <w:spacing w:val="30"/>
          <w:sz w:val="20"/>
        </w:rPr>
        <w:t>and</w:t>
      </w:r>
      <w:r>
        <w:rPr>
          <w:spacing w:val="30"/>
          <w:sz w:val="20"/>
        </w:rPr>
        <w:t xml:space="preserve"> </w:t>
      </w:r>
      <w:r w:rsidRPr="00743D2F">
        <w:rPr>
          <w:sz w:val="20"/>
        </w:rPr>
        <w:t>2</w:t>
      </w:r>
      <w:r w:rsidRPr="00743D2F">
        <w:rPr>
          <w:rFonts w:ascii="Symbol" w:hAnsi="Symbol" w:cs="Symbol"/>
          <w:sz w:val="20"/>
        </w:rPr>
        <w:t></w:t>
      </w:r>
      <w:r w:rsidRPr="00743D2F">
        <w:rPr>
          <w:sz w:val="20"/>
        </w:rPr>
        <w:t>996-tone</w:t>
      </w:r>
      <w:r w:rsidRPr="00743D2F">
        <w:rPr>
          <w:spacing w:val="29"/>
          <w:sz w:val="20"/>
        </w:rPr>
        <w:t xml:space="preserve"> </w:t>
      </w:r>
      <w:r w:rsidRPr="00743D2F">
        <w:rPr>
          <w:sz w:val="20"/>
        </w:rPr>
        <w:t>RU</w:t>
      </w:r>
      <w:r w:rsidRPr="00743D2F">
        <w:rPr>
          <w:strike/>
          <w:color w:val="FF0000"/>
          <w:sz w:val="20"/>
        </w:rPr>
        <w:t>,</w:t>
      </w:r>
      <w:r w:rsidRPr="00743D2F">
        <w:rPr>
          <w:strike/>
          <w:color w:val="FF0000"/>
          <w:spacing w:val="28"/>
          <w:sz w:val="20"/>
        </w:rPr>
        <w:t xml:space="preserve"> </w:t>
      </w:r>
      <w:r w:rsidRPr="00743D2F">
        <w:rPr>
          <w:strike/>
          <w:color w:val="FF0000"/>
          <w:sz w:val="20"/>
        </w:rPr>
        <w:t>and</w:t>
      </w:r>
      <w:r w:rsidRPr="00743D2F">
        <w:rPr>
          <w:strike/>
          <w:color w:val="FF0000"/>
          <w:spacing w:val="27"/>
          <w:sz w:val="20"/>
        </w:rPr>
        <w:t xml:space="preserve"> </w:t>
      </w:r>
      <w:r w:rsidRPr="00743D2F">
        <w:rPr>
          <w:strike/>
          <w:color w:val="FF0000"/>
          <w:sz w:val="20"/>
        </w:rPr>
        <w:t>4</w:t>
      </w:r>
      <w:r w:rsidRPr="00743D2F">
        <w:rPr>
          <w:rFonts w:ascii="Symbol" w:hAnsi="Symbol" w:cs="Symbol"/>
          <w:strike/>
          <w:color w:val="FF0000"/>
          <w:sz w:val="20"/>
        </w:rPr>
        <w:t></w:t>
      </w:r>
      <w:r w:rsidRPr="00743D2F">
        <w:rPr>
          <w:strike/>
          <w:color w:val="FF0000"/>
          <w:sz w:val="20"/>
        </w:rPr>
        <w:t>996-tone</w:t>
      </w:r>
      <w:r w:rsidRPr="00743D2F">
        <w:rPr>
          <w:strike/>
          <w:color w:val="FF0000"/>
          <w:spacing w:val="28"/>
          <w:sz w:val="20"/>
        </w:rPr>
        <w:t xml:space="preserve"> </w:t>
      </w:r>
      <w:r w:rsidRPr="00743D2F">
        <w:rPr>
          <w:strike/>
          <w:color w:val="FF0000"/>
          <w:sz w:val="20"/>
        </w:rPr>
        <w:t>RU</w:t>
      </w:r>
      <w:r w:rsidRPr="00743D2F">
        <w:rPr>
          <w:sz w:val="20"/>
        </w:rPr>
        <w:t>.</w:t>
      </w:r>
      <w:r w:rsidRPr="00743D2F">
        <w:rPr>
          <w:spacing w:val="29"/>
          <w:sz w:val="20"/>
        </w:rPr>
        <w:t xml:space="preserve"> </w:t>
      </w:r>
      <w:r w:rsidRPr="00743D2F">
        <w:rPr>
          <w:sz w:val="20"/>
        </w:rPr>
        <w:t>The</w:t>
      </w:r>
      <w:r w:rsidRPr="00743D2F">
        <w:rPr>
          <w:spacing w:val="29"/>
          <w:sz w:val="20"/>
        </w:rPr>
        <w:t xml:space="preserve"> </w:t>
      </w:r>
      <w:r w:rsidRPr="00743D2F">
        <w:rPr>
          <w:sz w:val="20"/>
        </w:rPr>
        <w:t>tone</w:t>
      </w:r>
      <w:r w:rsidRPr="00743D2F">
        <w:rPr>
          <w:spacing w:val="29"/>
          <w:sz w:val="20"/>
        </w:rPr>
        <w:t xml:space="preserve"> </w:t>
      </w:r>
      <w:r w:rsidRPr="00743D2F">
        <w:rPr>
          <w:sz w:val="20"/>
        </w:rPr>
        <w:t>indices</w:t>
      </w:r>
      <w:r w:rsidRPr="00743D2F">
        <w:rPr>
          <w:spacing w:val="28"/>
          <w:sz w:val="20"/>
        </w:rPr>
        <w:t xml:space="preserve"> </w:t>
      </w:r>
      <w:r w:rsidRPr="00743D2F">
        <w:rPr>
          <w:sz w:val="20"/>
        </w:rPr>
        <w:t>of</w:t>
      </w:r>
      <w:r w:rsidRPr="00743D2F">
        <w:rPr>
          <w:spacing w:val="28"/>
          <w:sz w:val="20"/>
        </w:rPr>
        <w:t xml:space="preserve"> </w:t>
      </w:r>
      <w:r w:rsidRPr="00743D2F">
        <w:rPr>
          <w:sz w:val="20"/>
        </w:rPr>
        <w:t>the</w:t>
      </w:r>
      <w:r w:rsidRPr="00743D2F">
        <w:rPr>
          <w:spacing w:val="29"/>
          <w:sz w:val="20"/>
        </w:rPr>
        <w:t xml:space="preserve"> </w:t>
      </w:r>
      <w:r w:rsidRPr="00743D2F">
        <w:rPr>
          <w:sz w:val="20"/>
        </w:rPr>
        <w:t>various RUs</w:t>
      </w:r>
      <w:r w:rsidRPr="00743D2F">
        <w:rPr>
          <w:spacing w:val="13"/>
          <w:sz w:val="20"/>
        </w:rPr>
        <w:t xml:space="preserve"> </w:t>
      </w:r>
      <w:r w:rsidRPr="00743D2F">
        <w:rPr>
          <w:sz w:val="20"/>
        </w:rPr>
        <w:t>for</w:t>
      </w:r>
      <w:r w:rsidRPr="00743D2F">
        <w:rPr>
          <w:spacing w:val="11"/>
          <w:sz w:val="20"/>
        </w:rPr>
        <w:t xml:space="preserve"> </w:t>
      </w:r>
      <w:r w:rsidRPr="00743D2F">
        <w:rPr>
          <w:sz w:val="20"/>
        </w:rPr>
        <w:t>different</w:t>
      </w:r>
      <w:r w:rsidRPr="00743D2F">
        <w:rPr>
          <w:spacing w:val="12"/>
          <w:sz w:val="20"/>
        </w:rPr>
        <w:t xml:space="preserve"> </w:t>
      </w:r>
      <w:r w:rsidRPr="00743D2F">
        <w:rPr>
          <w:sz w:val="20"/>
        </w:rPr>
        <w:t>EHT</w:t>
      </w:r>
      <w:r w:rsidRPr="00743D2F">
        <w:rPr>
          <w:spacing w:val="14"/>
          <w:sz w:val="20"/>
        </w:rPr>
        <w:t xml:space="preserve"> </w:t>
      </w:r>
      <w:r w:rsidRPr="00743D2F">
        <w:rPr>
          <w:sz w:val="20"/>
        </w:rPr>
        <w:t>PPDU</w:t>
      </w:r>
      <w:r w:rsidRPr="00743D2F">
        <w:rPr>
          <w:spacing w:val="12"/>
          <w:sz w:val="20"/>
        </w:rPr>
        <w:t xml:space="preserve"> </w:t>
      </w:r>
      <w:r w:rsidRPr="00743D2F">
        <w:rPr>
          <w:sz w:val="20"/>
        </w:rPr>
        <w:t>bandwidths</w:t>
      </w:r>
      <w:r w:rsidRPr="00743D2F">
        <w:rPr>
          <w:spacing w:val="12"/>
          <w:sz w:val="20"/>
        </w:rPr>
        <w:t xml:space="preserve"> </w:t>
      </w:r>
      <w:r w:rsidRPr="00743D2F">
        <w:rPr>
          <w:sz w:val="20"/>
        </w:rPr>
        <w:t>are</w:t>
      </w:r>
      <w:r w:rsidRPr="00743D2F">
        <w:rPr>
          <w:spacing w:val="14"/>
          <w:sz w:val="20"/>
        </w:rPr>
        <w:t xml:space="preserve"> </w:t>
      </w:r>
      <w:r w:rsidRPr="00743D2F">
        <w:rPr>
          <w:sz w:val="20"/>
        </w:rPr>
        <w:t>defined</w:t>
      </w:r>
      <w:r w:rsidRPr="00743D2F">
        <w:rPr>
          <w:spacing w:val="13"/>
          <w:sz w:val="20"/>
        </w:rPr>
        <w:t xml:space="preserve"> </w:t>
      </w:r>
      <w:r w:rsidRPr="00743D2F">
        <w:rPr>
          <w:sz w:val="20"/>
        </w:rPr>
        <w:t>in</w:t>
      </w:r>
      <w:r w:rsidRPr="00743D2F">
        <w:rPr>
          <w:spacing w:val="12"/>
          <w:sz w:val="20"/>
        </w:rPr>
        <w:t xml:space="preserve"> </w:t>
      </w:r>
      <w:hyperlink w:anchor="bookmark14" w:history="1">
        <w:r w:rsidRPr="00743D2F">
          <w:rPr>
            <w:sz w:val="20"/>
          </w:rPr>
          <w:t>36.3.2.1</w:t>
        </w:r>
        <w:r w:rsidRPr="00743D2F">
          <w:rPr>
            <w:spacing w:val="14"/>
            <w:sz w:val="20"/>
          </w:rPr>
          <w:t xml:space="preserve"> </w:t>
        </w:r>
        <w:r w:rsidRPr="00743D2F">
          <w:rPr>
            <w:sz w:val="20"/>
          </w:rPr>
          <w:t>(Subcarriers</w:t>
        </w:r>
        <w:r w:rsidRPr="00743D2F">
          <w:rPr>
            <w:spacing w:val="13"/>
            <w:sz w:val="20"/>
          </w:rPr>
          <w:t xml:space="preserve"> </w:t>
        </w:r>
        <w:r w:rsidRPr="00743D2F">
          <w:rPr>
            <w:sz w:val="20"/>
          </w:rPr>
          <w:t>and</w:t>
        </w:r>
        <w:r w:rsidRPr="00743D2F">
          <w:rPr>
            <w:spacing w:val="14"/>
            <w:sz w:val="20"/>
          </w:rPr>
          <w:t xml:space="preserve"> </w:t>
        </w:r>
        <w:r w:rsidRPr="00743D2F">
          <w:rPr>
            <w:sz w:val="20"/>
          </w:rPr>
          <w:t>resource</w:t>
        </w:r>
        <w:r>
          <w:rPr>
            <w:sz w:val="20"/>
          </w:rPr>
          <w:t xml:space="preserve"> </w:t>
        </w:r>
        <w:r w:rsidRPr="00743D2F">
          <w:rPr>
            <w:sz w:val="20"/>
          </w:rPr>
          <w:t>allocation</w:t>
        </w:r>
        <w:r w:rsidRPr="00743D2F">
          <w:rPr>
            <w:spacing w:val="14"/>
            <w:sz w:val="20"/>
          </w:rPr>
          <w:t xml:space="preserve"> </w:t>
        </w:r>
        <w:r w:rsidRPr="00743D2F">
          <w:rPr>
            <w:sz w:val="20"/>
          </w:rPr>
          <w:t>for</w:t>
        </w:r>
      </w:hyperlink>
      <w:r w:rsidRPr="00743D2F">
        <w:rPr>
          <w:spacing w:val="12"/>
          <w:sz w:val="20"/>
        </w:rPr>
        <w:t xml:space="preserve"> </w:t>
      </w:r>
      <w:hyperlink w:anchor="bookmark14" w:history="1">
        <w:r w:rsidRPr="00743D2F">
          <w:rPr>
            <w:sz w:val="20"/>
          </w:rPr>
          <w:t>wideband)</w:t>
        </w:r>
      </w:hyperlink>
      <w:r w:rsidRPr="00743D2F">
        <w:rPr>
          <w:sz w:val="20"/>
        </w:rPr>
        <w:t>.</w:t>
      </w:r>
    </w:p>
    <w:p w14:paraId="7F136CB4" w14:textId="035DD427" w:rsidR="00743D2F" w:rsidRDefault="00743D2F" w:rsidP="00743D2F">
      <w:pPr>
        <w:autoSpaceDE w:val="0"/>
        <w:autoSpaceDN w:val="0"/>
        <w:adjustRightInd w:val="0"/>
        <w:jc w:val="both"/>
        <w:rPr>
          <w:b/>
          <w:bCs/>
          <w:i/>
          <w:iCs/>
          <w:lang w:eastAsia="ko-KR"/>
        </w:rPr>
      </w:pPr>
    </w:p>
    <w:p w14:paraId="17005801" w14:textId="77777777" w:rsidR="00743D2F" w:rsidRPr="00743D2F" w:rsidRDefault="00743D2F" w:rsidP="00BD5D63">
      <w:pPr>
        <w:autoSpaceDE w:val="0"/>
        <w:autoSpaceDN w:val="0"/>
        <w:adjustRightInd w:val="0"/>
        <w:jc w:val="both"/>
        <w:rPr>
          <w:rStyle w:val="SC13204878"/>
          <w:color w:val="FF0000"/>
        </w:rPr>
      </w:pPr>
    </w:p>
    <w:p w14:paraId="06F2A908" w14:textId="77777777" w:rsidR="00352663" w:rsidRPr="00743D2F" w:rsidRDefault="00352663" w:rsidP="00BD5D63">
      <w:pPr>
        <w:autoSpaceDE w:val="0"/>
        <w:autoSpaceDN w:val="0"/>
        <w:adjustRightInd w:val="0"/>
        <w:jc w:val="both"/>
        <w:rPr>
          <w:rStyle w:val="SC13204878"/>
        </w:rPr>
      </w:pPr>
    </w:p>
    <w:p w14:paraId="5487BE93" w14:textId="77777777"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t xml:space="preserve">CID </w:t>
      </w:r>
      <w:r w:rsidRPr="00D73BE5">
        <w:rPr>
          <w:i/>
          <w:sz w:val="22"/>
          <w:szCs w:val="22"/>
          <w:lang w:eastAsia="ko-KR"/>
        </w:rPr>
        <w:t>7378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27DDD7B3" w14:textId="77777777" w:rsidTr="007547AB">
        <w:trPr>
          <w:trHeight w:val="386"/>
        </w:trPr>
        <w:tc>
          <w:tcPr>
            <w:tcW w:w="735" w:type="dxa"/>
            <w:shd w:val="clear" w:color="auto" w:fill="auto"/>
            <w:hideMark/>
          </w:tcPr>
          <w:p w14:paraId="76A6EC2F" w14:textId="77777777" w:rsidR="00352663" w:rsidRPr="00D73BE5" w:rsidRDefault="00352663" w:rsidP="007547AB">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CBFBEA8" w14:textId="77777777" w:rsidR="00352663" w:rsidRPr="00D73BE5" w:rsidRDefault="00352663" w:rsidP="007547AB">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3022F56" w14:textId="77777777" w:rsidR="00352663" w:rsidRPr="00D73BE5" w:rsidRDefault="00352663" w:rsidP="007547AB">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5DEDD44" w14:textId="77777777" w:rsidR="00352663" w:rsidRPr="00D73BE5" w:rsidRDefault="00352663" w:rsidP="007547AB">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1DB708A" w14:textId="77777777" w:rsidR="00352663" w:rsidRPr="00D73BE5" w:rsidRDefault="00352663" w:rsidP="007547AB">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A793B1E" w14:textId="77777777" w:rsidR="00352663" w:rsidRPr="00D73BE5" w:rsidRDefault="00352663" w:rsidP="007547AB">
            <w:pPr>
              <w:rPr>
                <w:rFonts w:ascii="Arial" w:hAnsi="Arial" w:cs="Arial"/>
                <w:b/>
                <w:bCs/>
                <w:sz w:val="20"/>
              </w:rPr>
            </w:pPr>
            <w:r w:rsidRPr="00D73BE5">
              <w:rPr>
                <w:rFonts w:ascii="Arial" w:hAnsi="Arial" w:cs="Arial"/>
                <w:b/>
                <w:bCs/>
                <w:sz w:val="20"/>
              </w:rPr>
              <w:t>Resolution</w:t>
            </w:r>
          </w:p>
        </w:tc>
      </w:tr>
      <w:tr w:rsidR="00352663" w:rsidRPr="00D73BE5" w14:paraId="250D856E" w14:textId="77777777" w:rsidTr="007547AB">
        <w:trPr>
          <w:trHeight w:val="734"/>
        </w:trPr>
        <w:tc>
          <w:tcPr>
            <w:tcW w:w="735" w:type="dxa"/>
            <w:shd w:val="clear" w:color="auto" w:fill="auto"/>
          </w:tcPr>
          <w:p w14:paraId="04A8B3CA" w14:textId="77777777" w:rsidR="00352663" w:rsidRPr="00D73BE5" w:rsidRDefault="00352663" w:rsidP="007547AB">
            <w:pPr>
              <w:jc w:val="right"/>
              <w:rPr>
                <w:rFonts w:ascii="Arial" w:eastAsia="맑은 고딕" w:hAnsi="Arial" w:cs="Arial"/>
                <w:sz w:val="20"/>
              </w:rPr>
            </w:pPr>
            <w:r w:rsidRPr="00D73BE5">
              <w:rPr>
                <w:rFonts w:ascii="Arial" w:eastAsia="맑은 고딕" w:hAnsi="Arial" w:cs="Arial"/>
                <w:sz w:val="20"/>
              </w:rPr>
              <w:t>7378</w:t>
            </w:r>
          </w:p>
        </w:tc>
        <w:tc>
          <w:tcPr>
            <w:tcW w:w="1133" w:type="dxa"/>
            <w:shd w:val="clear" w:color="auto" w:fill="auto"/>
          </w:tcPr>
          <w:p w14:paraId="570603FB" w14:textId="77777777" w:rsidR="00352663" w:rsidRPr="00D73BE5" w:rsidRDefault="00352663" w:rsidP="007547AB">
            <w:pPr>
              <w:rPr>
                <w:rFonts w:ascii="Arial" w:eastAsia="맑은 고딕" w:hAnsi="Arial" w:cs="Arial"/>
                <w:sz w:val="20"/>
              </w:rPr>
            </w:pPr>
            <w:r w:rsidRPr="00D73BE5">
              <w:rPr>
                <w:rFonts w:ascii="Arial" w:eastAsia="맑은 고딕" w:hAnsi="Arial" w:cs="Arial"/>
                <w:sz w:val="20"/>
              </w:rPr>
              <w:t>3.2</w:t>
            </w:r>
          </w:p>
        </w:tc>
        <w:tc>
          <w:tcPr>
            <w:tcW w:w="850" w:type="dxa"/>
            <w:shd w:val="clear" w:color="auto" w:fill="auto"/>
          </w:tcPr>
          <w:p w14:paraId="1CD3857C" w14:textId="77777777" w:rsidR="00352663" w:rsidRPr="00D73BE5" w:rsidRDefault="00352663" w:rsidP="007547AB">
            <w:pPr>
              <w:jc w:val="right"/>
              <w:rPr>
                <w:rFonts w:ascii="Arial" w:eastAsia="맑은 고딕" w:hAnsi="Arial" w:cs="Arial"/>
                <w:sz w:val="20"/>
              </w:rPr>
            </w:pPr>
            <w:r w:rsidRPr="00D73BE5">
              <w:rPr>
                <w:rFonts w:ascii="Arial" w:eastAsia="맑은 고딕" w:hAnsi="Arial" w:cs="Arial"/>
                <w:sz w:val="20"/>
              </w:rPr>
              <w:t>41.50</w:t>
            </w:r>
          </w:p>
        </w:tc>
        <w:tc>
          <w:tcPr>
            <w:tcW w:w="2410" w:type="dxa"/>
            <w:shd w:val="clear" w:color="auto" w:fill="auto"/>
          </w:tcPr>
          <w:p w14:paraId="79B49C97" w14:textId="77777777" w:rsidR="00352663" w:rsidRPr="00D73BE5" w:rsidRDefault="00352663" w:rsidP="007547AB">
            <w:pPr>
              <w:rPr>
                <w:rFonts w:ascii="Arial" w:eastAsia="맑은 고딕" w:hAnsi="Arial" w:cs="Arial"/>
                <w:sz w:val="20"/>
              </w:rPr>
            </w:pPr>
            <w:r w:rsidRPr="00D73BE5">
              <w:rPr>
                <w:rFonts w:ascii="Arial" w:eastAsia="맑은 고딕" w:hAnsi="Arial" w:cs="Arial"/>
                <w:sz w:val="20"/>
              </w:rPr>
              <w:t>What is a "non-AP EHT STA"?</w:t>
            </w:r>
          </w:p>
        </w:tc>
        <w:tc>
          <w:tcPr>
            <w:tcW w:w="2215" w:type="dxa"/>
            <w:shd w:val="clear" w:color="auto" w:fill="auto"/>
          </w:tcPr>
          <w:p w14:paraId="20E8560D" w14:textId="77777777" w:rsidR="00352663" w:rsidRPr="00D73BE5" w:rsidRDefault="00352663" w:rsidP="007547AB">
            <w:pPr>
              <w:rPr>
                <w:rFonts w:ascii="Arial" w:eastAsia="맑은 고딕" w:hAnsi="Arial" w:cs="Arial"/>
                <w:sz w:val="20"/>
              </w:rPr>
            </w:pPr>
            <w:r w:rsidRPr="00D73BE5">
              <w:rPr>
                <w:rFonts w:ascii="Arial" w:eastAsia="맑은 고딕" w:hAnsi="Arial" w:cs="Arial"/>
                <w:sz w:val="20"/>
              </w:rPr>
              <w:t>Change all occurances of the term "non-AP EHT STA" to "EHT non-AP STA" throughout the draft.</w:t>
            </w:r>
          </w:p>
        </w:tc>
        <w:tc>
          <w:tcPr>
            <w:tcW w:w="2693" w:type="dxa"/>
            <w:shd w:val="clear" w:color="auto" w:fill="auto"/>
          </w:tcPr>
          <w:p w14:paraId="0C39FAAE" w14:textId="0CDBD292" w:rsidR="00352663" w:rsidRPr="00D73BE5" w:rsidRDefault="00352663" w:rsidP="007547AB">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2752A367" w14:textId="77777777" w:rsidR="00352663" w:rsidRPr="00D73BE5" w:rsidRDefault="00352663" w:rsidP="007547AB">
            <w:pPr>
              <w:rPr>
                <w:rFonts w:ascii="Arial" w:hAnsi="Arial" w:cs="Arial"/>
                <w:color w:val="000000" w:themeColor="text1"/>
                <w:sz w:val="20"/>
                <w:lang w:eastAsia="ko-KR"/>
              </w:rPr>
            </w:pPr>
          </w:p>
          <w:p w14:paraId="6829D6F2" w14:textId="77777777" w:rsidR="00352663" w:rsidRPr="00D73BE5" w:rsidRDefault="00352663" w:rsidP="007547AB">
            <w:pPr>
              <w:rPr>
                <w:rFonts w:ascii="Arial" w:hAnsi="Arial" w:cs="Arial"/>
                <w:color w:val="000000" w:themeColor="text1"/>
                <w:sz w:val="20"/>
                <w:lang w:eastAsia="ko-KR"/>
              </w:rPr>
            </w:pPr>
            <w:r w:rsidRPr="00D73BE5">
              <w:rPr>
                <w:rFonts w:ascii="Arial" w:hAnsi="Arial" w:cs="Arial"/>
                <w:color w:val="000000" w:themeColor="text1"/>
                <w:sz w:val="20"/>
                <w:lang w:eastAsia="ko-KR"/>
              </w:rPr>
              <w:t>Non-AP EHT STA means an EHT STA that is not contained within an access point according to the definition of D802.11REVme. It is better to use this wording to make the consistency because this terminology has been used from the 11ax.</w:t>
            </w:r>
          </w:p>
          <w:p w14:paraId="3CE77FA8" w14:textId="02A94BE3" w:rsidR="00352663" w:rsidRPr="00D73BE5" w:rsidRDefault="00352663" w:rsidP="007547AB">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And </w:t>
            </w:r>
            <w:r w:rsidR="000B3154" w:rsidRPr="00D73BE5">
              <w:rPr>
                <w:rFonts w:ascii="Arial" w:hAnsi="Arial" w:cs="Arial"/>
                <w:color w:val="000000" w:themeColor="text1"/>
                <w:sz w:val="20"/>
                <w:lang w:eastAsia="ko-KR"/>
              </w:rPr>
              <w:t>for the use of consistent terminology in D1.2, we can modify some wording in D1.2</w:t>
            </w:r>
          </w:p>
          <w:p w14:paraId="1819338A" w14:textId="77777777" w:rsidR="00352663" w:rsidRPr="00D73BE5" w:rsidRDefault="00352663" w:rsidP="007547AB">
            <w:pPr>
              <w:rPr>
                <w:rFonts w:ascii="Arial" w:hAnsi="Arial" w:cs="Arial"/>
                <w:color w:val="000000" w:themeColor="text1"/>
                <w:sz w:val="20"/>
                <w:lang w:eastAsia="ko-KR"/>
              </w:rPr>
            </w:pPr>
          </w:p>
          <w:p w14:paraId="19DAF101" w14:textId="3FD45C07" w:rsidR="00352663" w:rsidRPr="00D73BE5" w:rsidRDefault="00352663" w:rsidP="00352663">
            <w:pPr>
              <w:rPr>
                <w:lang w:eastAsia="ko-KR"/>
              </w:rPr>
            </w:pPr>
            <w:r w:rsidRPr="00D73BE5">
              <w:rPr>
                <w:lang w:eastAsia="ko-KR"/>
              </w:rPr>
              <w:t>Instruction to TGbe Editor: incorporate the changes in https://mentor.ieee.org/802.11/dcn/21/</w:t>
            </w:r>
            <w:r w:rsidRPr="00D73BE5">
              <w:t xml:space="preserve"> </w:t>
            </w:r>
            <w:r w:rsidRPr="00D73BE5">
              <w:rPr>
                <w:lang w:eastAsia="ko-KR"/>
              </w:rPr>
              <w:t>11-21-</w:t>
            </w:r>
            <w:r w:rsidR="00FF3533">
              <w:rPr>
                <w:lang w:eastAsia="ko-KR"/>
              </w:rPr>
              <w:t>1740</w:t>
            </w:r>
            <w:r w:rsidRPr="00D73BE5">
              <w:rPr>
                <w:lang w:eastAsia="ko-KR"/>
              </w:rPr>
              <w:t>-0</w:t>
            </w:r>
            <w:r w:rsidR="00902E73">
              <w:rPr>
                <w:lang w:eastAsia="ko-KR"/>
              </w:rPr>
              <w:t>1</w:t>
            </w:r>
            <w:r w:rsidRPr="00D73BE5">
              <w:rPr>
                <w:lang w:eastAsia="ko-KR"/>
              </w:rPr>
              <w:t>-00be-CC36-CR-for-CID 7019 and 7378.docx.</w:t>
            </w:r>
          </w:p>
          <w:p w14:paraId="2853771E" w14:textId="5E860FB3" w:rsidR="00352663" w:rsidRPr="00D73BE5" w:rsidRDefault="00352663" w:rsidP="007547AB">
            <w:pPr>
              <w:rPr>
                <w:rFonts w:ascii="Arial" w:hAnsi="Arial" w:cs="Arial"/>
                <w:color w:val="000000" w:themeColor="text1"/>
                <w:sz w:val="20"/>
                <w:lang w:eastAsia="ko-KR"/>
              </w:rPr>
            </w:pPr>
          </w:p>
        </w:tc>
      </w:tr>
    </w:tbl>
    <w:p w14:paraId="12C48409" w14:textId="0D3887EA" w:rsidR="00352663" w:rsidRPr="000B3154" w:rsidRDefault="00352663" w:rsidP="00352663">
      <w:pPr>
        <w:autoSpaceDE w:val="0"/>
        <w:autoSpaceDN w:val="0"/>
        <w:adjustRightInd w:val="0"/>
        <w:jc w:val="both"/>
        <w:rPr>
          <w:rStyle w:val="SC13204878"/>
          <w:lang w:eastAsia="ko-KR"/>
        </w:rPr>
      </w:pPr>
    </w:p>
    <w:p w14:paraId="264B3F18" w14:textId="5161CE18" w:rsidR="00352663" w:rsidRDefault="00352663" w:rsidP="00BD5D63">
      <w:pPr>
        <w:autoSpaceDE w:val="0"/>
        <w:autoSpaceDN w:val="0"/>
        <w:adjustRightInd w:val="0"/>
        <w:jc w:val="both"/>
        <w:rPr>
          <w:b/>
          <w:i/>
          <w:lang w:eastAsia="ko-KR"/>
        </w:rPr>
      </w:pPr>
      <w:r w:rsidRPr="00F37B59">
        <w:rPr>
          <w:b/>
          <w:bCs/>
          <w:i/>
          <w:iCs/>
          <w:highlight w:val="yellow"/>
          <w:lang w:eastAsia="ko-KR"/>
        </w:rPr>
        <w:t>TGbe Editor:</w:t>
      </w:r>
      <w:r>
        <w:rPr>
          <w:b/>
          <w:bCs/>
          <w:i/>
          <w:iCs/>
          <w:lang w:eastAsia="ko-KR"/>
        </w:rPr>
        <w:t xml:space="preserve"> </w:t>
      </w:r>
      <w:r w:rsidR="00BF21C7">
        <w:rPr>
          <w:b/>
          <w:i/>
          <w:lang w:eastAsia="ko-KR"/>
        </w:rPr>
        <w:t xml:space="preserve">please modify the </w:t>
      </w:r>
      <w:r w:rsidR="000B3154">
        <w:rPr>
          <w:b/>
          <w:i/>
          <w:lang w:eastAsia="ko-KR"/>
        </w:rPr>
        <w:t>text at P</w:t>
      </w:r>
      <w:r w:rsidR="00BF21C7">
        <w:rPr>
          <w:b/>
          <w:i/>
          <w:lang w:eastAsia="ko-KR"/>
        </w:rPr>
        <w:t>108</w:t>
      </w:r>
      <w:r w:rsidR="000B3154">
        <w:rPr>
          <w:b/>
          <w:i/>
          <w:lang w:eastAsia="ko-KR"/>
        </w:rPr>
        <w:t>L</w:t>
      </w:r>
      <w:r w:rsidR="00BF21C7">
        <w:rPr>
          <w:b/>
          <w:i/>
          <w:lang w:eastAsia="ko-KR"/>
        </w:rPr>
        <w:t>24</w:t>
      </w:r>
      <w:r w:rsidR="000B3154">
        <w:rPr>
          <w:b/>
          <w:i/>
          <w:lang w:eastAsia="ko-KR"/>
        </w:rPr>
        <w:t xml:space="preserve"> of 11be D1.</w:t>
      </w:r>
      <w:r w:rsidR="00BF21C7">
        <w:rPr>
          <w:b/>
          <w:i/>
          <w:lang w:eastAsia="ko-KR"/>
        </w:rPr>
        <w:t>2</w:t>
      </w:r>
      <w:r w:rsidR="000B3154">
        <w:rPr>
          <w:b/>
          <w:i/>
          <w:lang w:eastAsia="ko-KR"/>
        </w:rPr>
        <w:t xml:space="preserve"> as follows.</w:t>
      </w:r>
    </w:p>
    <w:p w14:paraId="0BE78D1A" w14:textId="3DA3A474" w:rsidR="00BF21C7" w:rsidRPr="00352663" w:rsidRDefault="00BF21C7" w:rsidP="00BD5D63">
      <w:pPr>
        <w:autoSpaceDE w:val="0"/>
        <w:autoSpaceDN w:val="0"/>
        <w:adjustRightInd w:val="0"/>
        <w:jc w:val="both"/>
        <w:rPr>
          <w:rStyle w:val="SC13204878"/>
        </w:rPr>
      </w:pPr>
      <w:r>
        <w:rPr>
          <w:sz w:val="20"/>
        </w:rPr>
        <w:t xml:space="preserve"> The Common Info field in a Trigger frame is interpreted differently by non-EHT </w:t>
      </w:r>
      <w:r w:rsidRPr="00BF21C7">
        <w:rPr>
          <w:strike/>
          <w:color w:val="FF0000"/>
          <w:sz w:val="20"/>
        </w:rPr>
        <w:t>HE</w:t>
      </w:r>
      <w:r>
        <w:rPr>
          <w:sz w:val="20"/>
        </w:rPr>
        <w:t xml:space="preserve"> non-AP </w:t>
      </w:r>
      <w:r w:rsidRPr="00BF21C7">
        <w:rPr>
          <w:color w:val="FF0000"/>
          <w:sz w:val="20"/>
        </w:rPr>
        <w:t>HE</w:t>
      </w:r>
      <w:r>
        <w:rPr>
          <w:sz w:val="20"/>
        </w:rPr>
        <w:t xml:space="preserve"> STAs and </w:t>
      </w:r>
      <w:r w:rsidRPr="00BF21C7">
        <w:rPr>
          <w:strike/>
          <w:color w:val="FF0000"/>
          <w:sz w:val="20"/>
        </w:rPr>
        <w:t xml:space="preserve">EHT </w:t>
      </w:r>
      <w:r>
        <w:rPr>
          <w:sz w:val="20"/>
        </w:rPr>
        <w:t xml:space="preserve">non-AP </w:t>
      </w:r>
      <w:r w:rsidRPr="00BF21C7">
        <w:rPr>
          <w:color w:val="FF0000"/>
          <w:sz w:val="20"/>
        </w:rPr>
        <w:t xml:space="preserve">EHT </w:t>
      </w:r>
      <w:r>
        <w:rPr>
          <w:sz w:val="20"/>
        </w:rPr>
        <w:t xml:space="preserve">STAs. A non-EHT </w:t>
      </w:r>
      <w:r w:rsidRPr="00BF21C7">
        <w:rPr>
          <w:strike/>
          <w:color w:val="FF0000"/>
          <w:sz w:val="20"/>
        </w:rPr>
        <w:t>HE</w:t>
      </w:r>
      <w:r>
        <w:rPr>
          <w:sz w:val="20"/>
        </w:rPr>
        <w:t xml:space="preserve"> non-AP </w:t>
      </w:r>
      <w:r w:rsidRPr="00BF21C7">
        <w:rPr>
          <w:color w:val="FF0000"/>
          <w:sz w:val="20"/>
        </w:rPr>
        <w:t>HE</w:t>
      </w:r>
      <w:r>
        <w:rPr>
          <w:sz w:val="20"/>
        </w:rPr>
        <w:t xml:space="preserve"> STA interprets the Common Info field as HE variant. An </w:t>
      </w:r>
      <w:r w:rsidRPr="00BF21C7">
        <w:rPr>
          <w:strike/>
          <w:color w:val="FF0000"/>
          <w:sz w:val="20"/>
        </w:rPr>
        <w:t>EHT</w:t>
      </w:r>
      <w:r w:rsidRPr="00BF21C7">
        <w:rPr>
          <w:color w:val="FF0000"/>
          <w:sz w:val="20"/>
        </w:rPr>
        <w:t xml:space="preserve"> </w:t>
      </w:r>
      <w:r>
        <w:rPr>
          <w:sz w:val="20"/>
        </w:rPr>
        <w:t xml:space="preserve">non-AP </w:t>
      </w:r>
      <w:r w:rsidRPr="00BF21C7">
        <w:rPr>
          <w:color w:val="FF0000"/>
          <w:sz w:val="20"/>
        </w:rPr>
        <w:t xml:space="preserve">EHT </w:t>
      </w:r>
      <w:r>
        <w:rPr>
          <w:sz w:val="20"/>
        </w:rPr>
        <w:t>STA interprets the Common Info field as HE variant if B54 and B55 in the Common Info field are equal to 1; and interprets the Common Info field as EHT variant otherwise.</w:t>
      </w:r>
      <w:r w:rsidR="00D73BE5">
        <w:rPr>
          <w:sz w:val="20"/>
        </w:rPr>
        <w:t xml:space="preserve"> </w:t>
      </w:r>
      <w:r w:rsidR="00D73BE5" w:rsidRPr="00D73BE5">
        <w:rPr>
          <w:color w:val="FF0000"/>
          <w:sz w:val="20"/>
        </w:rPr>
        <w:t>(#7378)</w:t>
      </w:r>
    </w:p>
    <w:sectPr w:rsidR="00BF21C7" w:rsidRPr="00352663" w:rsidSect="00C74A90">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376E7" w14:textId="77777777" w:rsidR="00266B6E" w:rsidRDefault="00266B6E">
      <w:r>
        <w:separator/>
      </w:r>
    </w:p>
  </w:endnote>
  <w:endnote w:type="continuationSeparator" w:id="0">
    <w:p w14:paraId="62F93A49" w14:textId="77777777" w:rsidR="00266B6E" w:rsidRDefault="0026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02E73">
      <w:rPr>
        <w:noProof/>
      </w:rPr>
      <w:t>1</w:t>
    </w:r>
    <w:r>
      <w:fldChar w:fldCharType="end"/>
    </w:r>
    <w:r>
      <w:tab/>
    </w:r>
    <w:r w:rsidR="0091133C">
      <w:rPr>
        <w:lang w:eastAsia="ko-KR"/>
      </w:rPr>
      <w:t>Dongguk Lim</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3641C" w14:textId="77777777" w:rsidR="00266B6E" w:rsidRDefault="00266B6E">
      <w:r>
        <w:separator/>
      </w:r>
    </w:p>
  </w:footnote>
  <w:footnote w:type="continuationSeparator" w:id="0">
    <w:p w14:paraId="10B222B2" w14:textId="77777777" w:rsidR="00266B6E" w:rsidRDefault="00266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7B68077" w:rsidR="00D45587" w:rsidRDefault="00FF3533" w:rsidP="00732A32">
    <w:pPr>
      <w:pStyle w:val="a4"/>
      <w:tabs>
        <w:tab w:val="clear" w:pos="6480"/>
        <w:tab w:val="center" w:pos="4680"/>
        <w:tab w:val="right" w:pos="9360"/>
      </w:tabs>
    </w:pPr>
    <w:r>
      <w:rPr>
        <w:lang w:eastAsia="ko-KR"/>
      </w:rPr>
      <w:t>Nov</w:t>
    </w:r>
    <w:r w:rsidR="00D73BE5">
      <w:rPr>
        <w:lang w:eastAsia="ko-KR"/>
      </w:rPr>
      <w:t>.</w:t>
    </w:r>
    <w:r w:rsidR="00700311">
      <w:rPr>
        <w:lang w:eastAsia="ko-KR"/>
      </w:rPr>
      <w:t xml:space="preserve"> 20</w:t>
    </w:r>
    <w:r w:rsidR="00700311">
      <w:t>21</w:t>
    </w:r>
    <w:r w:rsidR="00D45587">
      <w:tab/>
    </w:r>
    <w:r w:rsidR="00D45587">
      <w:tab/>
    </w:r>
    <w:r w:rsidR="00266B6E">
      <w:fldChar w:fldCharType="begin"/>
    </w:r>
    <w:r w:rsidR="00266B6E">
      <w:instrText xml:space="preserve"> TITLE  \* MERGEFORMAT </w:instrText>
    </w:r>
    <w:r w:rsidR="00266B6E">
      <w:fldChar w:fldCharType="separate"/>
    </w:r>
    <w:r w:rsidR="00D45587">
      <w:t>doc.: IEEE 802.11-</w:t>
    </w:r>
    <w:r w:rsidR="00700311">
      <w:t>21</w:t>
    </w:r>
    <w:r w:rsidR="00D45587">
      <w:t>/</w:t>
    </w:r>
    <w:r w:rsidR="00266B6E">
      <w:fldChar w:fldCharType="end"/>
    </w:r>
    <w:r w:rsidR="00290CCD">
      <w:t>1740</w:t>
    </w:r>
    <w:r w:rsidR="00446222">
      <w:t>r</w:t>
    </w:r>
    <w:r w:rsidR="00902E7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3"/>
  </w:num>
  <w:num w:numId="4">
    <w:abstractNumId w:val="2"/>
  </w:num>
  <w:num w:numId="5">
    <w:abstractNumId w:val="7"/>
  </w:num>
  <w:num w:numId="6">
    <w:abstractNumId w:val="8"/>
  </w:num>
  <w:num w:numId="7">
    <w:abstractNumId w:val="6"/>
  </w:num>
  <w:num w:numId="8">
    <w:abstractNumId w:val="1"/>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09AF"/>
    <w:rsid w:val="00031645"/>
    <w:rsid w:val="0003211C"/>
    <w:rsid w:val="00032E02"/>
    <w:rsid w:val="000359C1"/>
    <w:rsid w:val="00035D6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571"/>
    <w:rsid w:val="000A2FF1"/>
    <w:rsid w:val="000A3355"/>
    <w:rsid w:val="000A365F"/>
    <w:rsid w:val="000A6729"/>
    <w:rsid w:val="000A764C"/>
    <w:rsid w:val="000A76D8"/>
    <w:rsid w:val="000B0761"/>
    <w:rsid w:val="000B088E"/>
    <w:rsid w:val="000B0B24"/>
    <w:rsid w:val="000B25E8"/>
    <w:rsid w:val="000B315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E06"/>
    <w:rsid w:val="000F1F93"/>
    <w:rsid w:val="000F5794"/>
    <w:rsid w:val="000F5A3C"/>
    <w:rsid w:val="000F61F4"/>
    <w:rsid w:val="000F61FE"/>
    <w:rsid w:val="000F7452"/>
    <w:rsid w:val="001004D3"/>
    <w:rsid w:val="001036B0"/>
    <w:rsid w:val="00104337"/>
    <w:rsid w:val="001046F3"/>
    <w:rsid w:val="0010617B"/>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964"/>
    <w:rsid w:val="001A2B00"/>
    <w:rsid w:val="001A5226"/>
    <w:rsid w:val="001A5C01"/>
    <w:rsid w:val="001A5C04"/>
    <w:rsid w:val="001B02FA"/>
    <w:rsid w:val="001B217E"/>
    <w:rsid w:val="001B2BCE"/>
    <w:rsid w:val="001B5503"/>
    <w:rsid w:val="001C6FA2"/>
    <w:rsid w:val="001D25A0"/>
    <w:rsid w:val="001D3204"/>
    <w:rsid w:val="001D4CD9"/>
    <w:rsid w:val="001D4E5F"/>
    <w:rsid w:val="001D6175"/>
    <w:rsid w:val="001D723B"/>
    <w:rsid w:val="001D794E"/>
    <w:rsid w:val="001E1D03"/>
    <w:rsid w:val="001E1F1F"/>
    <w:rsid w:val="001E3BE4"/>
    <w:rsid w:val="001E47B8"/>
    <w:rsid w:val="001E5538"/>
    <w:rsid w:val="001E63A0"/>
    <w:rsid w:val="001E693E"/>
    <w:rsid w:val="001F01C9"/>
    <w:rsid w:val="001F376F"/>
    <w:rsid w:val="001F4241"/>
    <w:rsid w:val="001F43DF"/>
    <w:rsid w:val="001F5A28"/>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6B6E"/>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F86"/>
    <w:rsid w:val="002974BC"/>
    <w:rsid w:val="002A26D1"/>
    <w:rsid w:val="002A6FE1"/>
    <w:rsid w:val="002B1ACA"/>
    <w:rsid w:val="002B3A59"/>
    <w:rsid w:val="002B5690"/>
    <w:rsid w:val="002B58CB"/>
    <w:rsid w:val="002C1AFC"/>
    <w:rsid w:val="002C446A"/>
    <w:rsid w:val="002C5B3E"/>
    <w:rsid w:val="002C75EE"/>
    <w:rsid w:val="002D2D96"/>
    <w:rsid w:val="002D441A"/>
    <w:rsid w:val="002D44BE"/>
    <w:rsid w:val="002D4CBF"/>
    <w:rsid w:val="002E165D"/>
    <w:rsid w:val="002E27A4"/>
    <w:rsid w:val="002E2DC2"/>
    <w:rsid w:val="002E4FA9"/>
    <w:rsid w:val="002E5287"/>
    <w:rsid w:val="002E58AC"/>
    <w:rsid w:val="002E71FC"/>
    <w:rsid w:val="002E7A28"/>
    <w:rsid w:val="002F272A"/>
    <w:rsid w:val="002F2D4F"/>
    <w:rsid w:val="002F5C7B"/>
    <w:rsid w:val="002F5C88"/>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3C0B"/>
    <w:rsid w:val="00354C0C"/>
    <w:rsid w:val="00360C64"/>
    <w:rsid w:val="00361221"/>
    <w:rsid w:val="0036165C"/>
    <w:rsid w:val="00361A7D"/>
    <w:rsid w:val="00362CA9"/>
    <w:rsid w:val="003636A5"/>
    <w:rsid w:val="00363B8D"/>
    <w:rsid w:val="003674FB"/>
    <w:rsid w:val="00367830"/>
    <w:rsid w:val="00370D13"/>
    <w:rsid w:val="003737F3"/>
    <w:rsid w:val="00373CC1"/>
    <w:rsid w:val="00375604"/>
    <w:rsid w:val="00375F40"/>
    <w:rsid w:val="0037683B"/>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1FAE"/>
    <w:rsid w:val="003C292F"/>
    <w:rsid w:val="003D2021"/>
    <w:rsid w:val="003D5F44"/>
    <w:rsid w:val="003D66D1"/>
    <w:rsid w:val="003D6E7F"/>
    <w:rsid w:val="003E10A1"/>
    <w:rsid w:val="003E38BF"/>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5675"/>
    <w:rsid w:val="00456C11"/>
    <w:rsid w:val="00457F13"/>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351"/>
    <w:rsid w:val="004F7463"/>
    <w:rsid w:val="004F7ACE"/>
    <w:rsid w:val="00506864"/>
    <w:rsid w:val="005075B2"/>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0F3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1139"/>
    <w:rsid w:val="0060160F"/>
    <w:rsid w:val="00601B3E"/>
    <w:rsid w:val="0060347D"/>
    <w:rsid w:val="00603E59"/>
    <w:rsid w:val="00605E42"/>
    <w:rsid w:val="006104DA"/>
    <w:rsid w:val="00610F5D"/>
    <w:rsid w:val="00612747"/>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3D14"/>
    <w:rsid w:val="00743D2F"/>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7520"/>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974AB"/>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5C15"/>
    <w:rsid w:val="007E65AA"/>
    <w:rsid w:val="007F0D6A"/>
    <w:rsid w:val="00800788"/>
    <w:rsid w:val="008023E1"/>
    <w:rsid w:val="008026FC"/>
    <w:rsid w:val="008050EC"/>
    <w:rsid w:val="0080723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4F8D"/>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2ED6"/>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B0D8B"/>
    <w:rsid w:val="00AB15FE"/>
    <w:rsid w:val="00AB160B"/>
    <w:rsid w:val="00AB5B46"/>
    <w:rsid w:val="00AB7D1B"/>
    <w:rsid w:val="00AC0BF3"/>
    <w:rsid w:val="00AC32D5"/>
    <w:rsid w:val="00AC3EDC"/>
    <w:rsid w:val="00AC4556"/>
    <w:rsid w:val="00AC6387"/>
    <w:rsid w:val="00AD04C0"/>
    <w:rsid w:val="00AD38C4"/>
    <w:rsid w:val="00AD7DEA"/>
    <w:rsid w:val="00AE3368"/>
    <w:rsid w:val="00AE3516"/>
    <w:rsid w:val="00AE56C0"/>
    <w:rsid w:val="00AF04F7"/>
    <w:rsid w:val="00AF2C8F"/>
    <w:rsid w:val="00AF4CD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2F34"/>
    <w:rsid w:val="00B332CF"/>
    <w:rsid w:val="00B34500"/>
    <w:rsid w:val="00B347EF"/>
    <w:rsid w:val="00B34F50"/>
    <w:rsid w:val="00B35A23"/>
    <w:rsid w:val="00B375CB"/>
    <w:rsid w:val="00B40412"/>
    <w:rsid w:val="00B40773"/>
    <w:rsid w:val="00B4125E"/>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3B35"/>
    <w:rsid w:val="00BB633A"/>
    <w:rsid w:val="00BB66E7"/>
    <w:rsid w:val="00BB6AA8"/>
    <w:rsid w:val="00BB7570"/>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21C7"/>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96E"/>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7371"/>
    <w:rsid w:val="00C72A8B"/>
    <w:rsid w:val="00C74778"/>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A8A"/>
    <w:rsid w:val="00D177E1"/>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BE5"/>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40F91"/>
    <w:rsid w:val="00E5206F"/>
    <w:rsid w:val="00E534DE"/>
    <w:rsid w:val="00E54234"/>
    <w:rsid w:val="00E5465F"/>
    <w:rsid w:val="00E556EB"/>
    <w:rsid w:val="00E55C95"/>
    <w:rsid w:val="00E5726C"/>
    <w:rsid w:val="00E60532"/>
    <w:rsid w:val="00E60F66"/>
    <w:rsid w:val="00E613DC"/>
    <w:rsid w:val="00E631FB"/>
    <w:rsid w:val="00E651AA"/>
    <w:rsid w:val="00E667DA"/>
    <w:rsid w:val="00E66FB6"/>
    <w:rsid w:val="00E67274"/>
    <w:rsid w:val="00E71165"/>
    <w:rsid w:val="00E736FD"/>
    <w:rsid w:val="00E7565D"/>
    <w:rsid w:val="00E80AE0"/>
    <w:rsid w:val="00E817DF"/>
    <w:rsid w:val="00E83EC0"/>
    <w:rsid w:val="00E845EF"/>
    <w:rsid w:val="00E85024"/>
    <w:rsid w:val="00E92CE6"/>
    <w:rsid w:val="00E931C3"/>
    <w:rsid w:val="00E93AB2"/>
    <w:rsid w:val="00E96C11"/>
    <w:rsid w:val="00EA1146"/>
    <w:rsid w:val="00EA1B76"/>
    <w:rsid w:val="00EA23D6"/>
    <w:rsid w:val="00EA6B47"/>
    <w:rsid w:val="00EA79FF"/>
    <w:rsid w:val="00EB2CD0"/>
    <w:rsid w:val="00EB30F6"/>
    <w:rsid w:val="00EB410A"/>
    <w:rsid w:val="00EB6EFD"/>
    <w:rsid w:val="00EB7D49"/>
    <w:rsid w:val="00EC1DCD"/>
    <w:rsid w:val="00EC1E9D"/>
    <w:rsid w:val="00EC2941"/>
    <w:rsid w:val="00EC4B96"/>
    <w:rsid w:val="00EC625F"/>
    <w:rsid w:val="00EC6845"/>
    <w:rsid w:val="00EC77D7"/>
    <w:rsid w:val="00ED100E"/>
    <w:rsid w:val="00ED116D"/>
    <w:rsid w:val="00ED1FC2"/>
    <w:rsid w:val="00ED74B6"/>
    <w:rsid w:val="00EE2C42"/>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6C0A"/>
    <w:rsid w:val="00F106F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778"/>
    <w:rsid w:val="00F70910"/>
    <w:rsid w:val="00F7439A"/>
    <w:rsid w:val="00F745D5"/>
    <w:rsid w:val="00F75356"/>
    <w:rsid w:val="00F775C9"/>
    <w:rsid w:val="00F815CA"/>
    <w:rsid w:val="00F82A01"/>
    <w:rsid w:val="00F837F7"/>
    <w:rsid w:val="00F8640E"/>
    <w:rsid w:val="00F90242"/>
    <w:rsid w:val="00F91835"/>
    <w:rsid w:val="00F918F3"/>
    <w:rsid w:val="00F919AA"/>
    <w:rsid w:val="00F93322"/>
    <w:rsid w:val="00F93D29"/>
    <w:rsid w:val="00F9626C"/>
    <w:rsid w:val="00FA1DA8"/>
    <w:rsid w:val="00FA68E3"/>
    <w:rsid w:val="00FA6CCD"/>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58B8"/>
    <w:rsid w:val="00FE64FD"/>
    <w:rsid w:val="00FF2516"/>
    <w:rsid w:val="00FF3533"/>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D2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37E617E-C0FE-4A6C-AF5B-5DC08981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608</Words>
  <Characters>3469</Characters>
  <Application>Microsoft Office Word</Application>
  <DocSecurity>0</DocSecurity>
  <Lines>28</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2021-12-07T01:35:00Z</dcterms:created>
  <dcterms:modified xsi:type="dcterms:W3CDTF">2021-12-07T01:35:00Z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