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7E4B54">
              <w:t>4</w:t>
            </w:r>
            <w:r w:rsidRPr="00F57FD7">
              <w:t xml:space="preserve"> C</w:t>
            </w:r>
            <w:r w:rsidR="00847C90">
              <w:t xml:space="preserve">omment </w:t>
            </w:r>
            <w:r w:rsidRPr="00F57FD7">
              <w:t>R</w:t>
            </w:r>
            <w:r w:rsidR="00847C90">
              <w:t>esolution for 11bd D</w:t>
            </w:r>
            <w:r w:rsidR="00E76F61">
              <w:t>2</w:t>
            </w:r>
            <w:r w:rsidR="00847C90">
              <w:t>.0</w:t>
            </w:r>
            <w:r w:rsidRPr="00F57FD7">
              <w:t xml:space="preserve"> Clause </w:t>
            </w:r>
            <w:r w:rsidR="00CA6EB6">
              <w:t>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D1461F">
              <w:rPr>
                <w:b w:val="0"/>
                <w:sz w:val="20"/>
              </w:rPr>
              <w:t>1</w:t>
            </w:r>
            <w:r w:rsidR="00380594">
              <w:rPr>
                <w:b w:val="0"/>
                <w:sz w:val="20"/>
              </w:rPr>
              <w:t>1</w:t>
            </w:r>
            <w:r>
              <w:rPr>
                <w:b w:val="0"/>
                <w:sz w:val="20"/>
              </w:rPr>
              <w:t>-</w:t>
            </w:r>
            <w:r w:rsidR="00380594">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036050">
                              <w:t>17</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003468D4">
                              <w:t xml:space="preserve"> </w:t>
                            </w:r>
                            <w:r w:rsidR="003D139E" w:rsidRPr="00E87A08">
                              <w:t>2022, 2023, 2052, 2054, 2055, 2064, 2077, 2079, 2080, 2127, 2129, 2219, 2220, 2221, 2222, 2239, 2282</w:t>
                            </w:r>
                          </w:p>
                          <w:p w:rsidR="005921A2" w:rsidRDefault="005921A2">
                            <w:pPr>
                              <w:jc w:val="both"/>
                            </w:pP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380594" w:rsidRDefault="00380594" w:rsidP="00F57FD7">
                            <w:pPr>
                              <w:pStyle w:val="ListParagraph"/>
                              <w:numPr>
                                <w:ilvl w:val="0"/>
                                <w:numId w:val="1"/>
                              </w:numPr>
                              <w:jc w:val="both"/>
                            </w:pPr>
                            <w:r>
                              <w:t>Rev 1: Updated resolutions to CIDs 2239, 2221, and 2222</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036050">
                        <w:t>17</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003468D4">
                        <w:t xml:space="preserve"> </w:t>
                      </w:r>
                      <w:r w:rsidR="003D139E" w:rsidRPr="00E87A08">
                        <w:t>2022, 2023, 2052, 2054, 2055, 2064, 2077, 2079, 2080, 2127, 2129, 2219, 2220, 2221, 2222, 2239, 2282</w:t>
                      </w:r>
                    </w:p>
                    <w:p w:rsidR="005921A2" w:rsidRDefault="005921A2">
                      <w:pPr>
                        <w:jc w:val="both"/>
                      </w:pP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380594" w:rsidRDefault="00380594" w:rsidP="00F57FD7">
                      <w:pPr>
                        <w:pStyle w:val="ListParagraph"/>
                        <w:numPr>
                          <w:ilvl w:val="0"/>
                          <w:numId w:val="1"/>
                        </w:numPr>
                        <w:jc w:val="both"/>
                      </w:pPr>
                      <w:r>
                        <w:t>Rev 1: Updated resolutions to CIDs 2239, 2221, and 2222</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41"/>
        <w:gridCol w:w="2071"/>
        <w:gridCol w:w="2243"/>
        <w:gridCol w:w="3810"/>
      </w:tblGrid>
      <w:tr w:rsidR="00DA4975" w:rsidRPr="00F33A98" w:rsidTr="003A7B3A">
        <w:trPr>
          <w:trHeight w:val="283"/>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343"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292"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384"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68"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F968C6" w:rsidTr="003A7B3A">
        <w:tblPrEx>
          <w:tblCellMar>
            <w:left w:w="70" w:type="dxa"/>
            <w:right w:w="70" w:type="dxa"/>
          </w:tblCellMar>
        </w:tblPrEx>
        <w:trPr>
          <w:trHeight w:val="283"/>
        </w:trPr>
        <w:tc>
          <w:tcPr>
            <w:tcW w:w="313" w:type="pct"/>
            <w:tcBorders>
              <w:top w:val="single" w:sz="4" w:space="0" w:color="333300"/>
              <w:left w:val="single" w:sz="4" w:space="0" w:color="333300"/>
              <w:bottom w:val="single" w:sz="4" w:space="0" w:color="333300"/>
              <w:right w:val="single" w:sz="4" w:space="0" w:color="333300"/>
            </w:tcBorders>
            <w:shd w:val="clear" w:color="auto" w:fill="auto"/>
          </w:tcPr>
          <w:p w:rsidR="00F968C6" w:rsidRPr="00E87A08" w:rsidRDefault="00F968C6" w:rsidP="002704B8">
            <w:pPr>
              <w:jc w:val="right"/>
              <w:rPr>
                <w:rFonts w:ascii="Arial" w:hAnsi="Arial" w:cs="Arial"/>
                <w:sz w:val="20"/>
                <w:lang w:val="en-US"/>
              </w:rPr>
            </w:pPr>
            <w:r w:rsidRPr="00E87A08">
              <w:rPr>
                <w:rFonts w:ascii="Arial" w:hAnsi="Arial" w:cs="Arial"/>
                <w:sz w:val="20"/>
                <w:lang w:val="en-US"/>
              </w:rPr>
              <w:t>2064</w:t>
            </w:r>
          </w:p>
        </w:tc>
        <w:tc>
          <w:tcPr>
            <w:tcW w:w="343" w:type="pct"/>
            <w:tcBorders>
              <w:top w:val="single" w:sz="4" w:space="0" w:color="333300"/>
              <w:left w:val="nil"/>
              <w:bottom w:val="single" w:sz="4" w:space="0" w:color="333300"/>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0.00</w:t>
            </w:r>
          </w:p>
        </w:tc>
        <w:tc>
          <w:tcPr>
            <w:tcW w:w="1292" w:type="pct"/>
            <w:tcBorders>
              <w:top w:val="single" w:sz="4" w:space="0" w:color="333300"/>
              <w:left w:val="single" w:sz="4" w:space="0" w:color="333300"/>
              <w:bottom w:val="single" w:sz="4" w:space="0" w:color="333300"/>
              <w:right w:val="single" w:sz="4" w:space="0" w:color="333300"/>
            </w:tcBorders>
            <w:shd w:val="clear" w:color="auto" w:fill="auto"/>
          </w:tcPr>
          <w:p w:rsidR="00F968C6" w:rsidRDefault="00F968C6" w:rsidP="002704B8">
            <w:pPr>
              <w:rPr>
                <w:rFonts w:ascii="Arial" w:hAnsi="Arial" w:cs="Arial"/>
                <w:sz w:val="20"/>
                <w:lang w:val="en-US"/>
              </w:rPr>
            </w:pPr>
            <w:r>
              <w:rPr>
                <w:rFonts w:ascii="Arial" w:hAnsi="Arial" w:cs="Arial"/>
                <w:sz w:val="20"/>
              </w:rPr>
              <w:t>Terminology for DCM is not consistent. For example,</w:t>
            </w:r>
            <w:r>
              <w:rPr>
                <w:rFonts w:ascii="Arial" w:hAnsi="Arial" w:cs="Arial"/>
                <w:sz w:val="20"/>
              </w:rPr>
              <w:br/>
              <w:t>- [P62L32-33] BPSK dual-carrier modulation (DCM)</w:t>
            </w:r>
            <w:r>
              <w:rPr>
                <w:rFonts w:ascii="Arial" w:hAnsi="Arial" w:cs="Arial"/>
                <w:sz w:val="20"/>
              </w:rPr>
              <w:br/>
              <w:t>- [P93L48] When DCM and BPSK modulation is applied ...</w:t>
            </w:r>
            <w:r>
              <w:rPr>
                <w:rFonts w:ascii="Arial" w:hAnsi="Arial" w:cs="Arial"/>
                <w:sz w:val="20"/>
              </w:rPr>
              <w:br/>
              <w:t>- [P104L36 (Table 32-14)] BPSK with DCM</w:t>
            </w:r>
            <w:r>
              <w:rPr>
                <w:rFonts w:ascii="Arial" w:hAnsi="Arial" w:cs="Arial"/>
                <w:sz w:val="20"/>
              </w:rPr>
              <w:br/>
              <w:t>- [P120 (Table 32-20)] BPSK with DCM (MCS15)</w:t>
            </w:r>
            <w:r>
              <w:rPr>
                <w:rFonts w:ascii="Arial" w:hAnsi="Arial" w:cs="Arial"/>
                <w:sz w:val="20"/>
              </w:rPr>
              <w:br/>
              <w:t>It is better to define a simple term (e.g. BPSK-DCM, which is used in 802.11be D1.1) for BPSK with DCM explicitly in clause 3 and use the term consistently in the rest of specifications.</w:t>
            </w:r>
          </w:p>
        </w:tc>
        <w:tc>
          <w:tcPr>
            <w:tcW w:w="1384" w:type="pct"/>
            <w:tcBorders>
              <w:top w:val="single" w:sz="4" w:space="0" w:color="333300"/>
              <w:left w:val="nil"/>
              <w:bottom w:val="single" w:sz="4" w:space="0" w:color="333300"/>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Define "BPSK-DCM" as "BPSK modulation with dual-carrier modulation (DCM)" in clause 3. Use the term "BPSK-DCM" in the rest of specifications.</w:t>
            </w:r>
          </w:p>
        </w:tc>
        <w:tc>
          <w:tcPr>
            <w:tcW w:w="1668" w:type="pct"/>
          </w:tcPr>
          <w:p w:rsidR="00F968C6" w:rsidRDefault="00F968C6" w:rsidP="002704B8">
            <w:pPr>
              <w:rPr>
                <w:rFonts w:ascii="Arial" w:hAnsi="Arial" w:cs="Arial"/>
                <w:sz w:val="20"/>
              </w:rPr>
            </w:pPr>
            <w:r>
              <w:rPr>
                <w:rFonts w:ascii="Arial" w:hAnsi="Arial" w:cs="Arial"/>
                <w:sz w:val="20"/>
              </w:rPr>
              <w:t>Revised</w:t>
            </w:r>
          </w:p>
          <w:p w:rsidR="00F31F32" w:rsidRDefault="00F31F32" w:rsidP="002704B8">
            <w:pPr>
              <w:rPr>
                <w:rFonts w:ascii="Arial" w:hAnsi="Arial" w:cs="Arial"/>
                <w:sz w:val="20"/>
              </w:rPr>
            </w:pPr>
            <w:r>
              <w:rPr>
                <w:rFonts w:ascii="Arial" w:hAnsi="Arial" w:cs="Arial"/>
                <w:sz w:val="20"/>
              </w:rPr>
              <w:t xml:space="preserve">Agree in principle with </w:t>
            </w:r>
            <w:proofErr w:type="spellStart"/>
            <w:r>
              <w:rPr>
                <w:rFonts w:ascii="Arial" w:hAnsi="Arial" w:cs="Arial"/>
                <w:sz w:val="20"/>
              </w:rPr>
              <w:t>commentor</w:t>
            </w:r>
            <w:proofErr w:type="spellEnd"/>
            <w:r>
              <w:rPr>
                <w:rFonts w:ascii="Arial" w:hAnsi="Arial" w:cs="Arial"/>
                <w:sz w:val="20"/>
              </w:rPr>
              <w:t xml:space="preserve"> to replace all occurrences with “BPSK-DCM”. </w:t>
            </w:r>
          </w:p>
          <w:p w:rsidR="00F31F32" w:rsidRDefault="00F31F32" w:rsidP="002704B8">
            <w:pPr>
              <w:rPr>
                <w:rFonts w:ascii="Arial" w:hAnsi="Arial" w:cs="Arial"/>
                <w:sz w:val="20"/>
              </w:rPr>
            </w:pPr>
            <w:r>
              <w:rPr>
                <w:rFonts w:ascii="Arial" w:hAnsi="Arial" w:cs="Arial"/>
                <w:sz w:val="20"/>
              </w:rPr>
              <w:t>DCM is defined in the 802.11ax-2021 acronym list and BPSK is defined in the 802.11-2020 acronym list. Since BPSK-DCM is no new scheme compared to 802.11ax-2021, no definition of “BPSK-DCM” is needed. Note that only QAM is defined but 16-QAM, 64-QAM or 256-QAM is not separately defined in 802.11-2020.</w:t>
            </w:r>
          </w:p>
          <w:p w:rsidR="00F31F32" w:rsidRDefault="00F31F32" w:rsidP="002704B8">
            <w:pPr>
              <w:rPr>
                <w:rFonts w:ascii="Arial" w:hAnsi="Arial" w:cs="Arial"/>
                <w:sz w:val="20"/>
              </w:rPr>
            </w:pPr>
          </w:p>
          <w:p w:rsidR="006277C2" w:rsidRPr="006277C2" w:rsidRDefault="006277C2" w:rsidP="002704B8">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6277C2" w:rsidRDefault="006277C2" w:rsidP="002704B8">
            <w:pPr>
              <w:rPr>
                <w:rFonts w:ascii="Arial" w:hAnsi="Arial" w:cs="Arial"/>
                <w:sz w:val="20"/>
              </w:rPr>
            </w:pPr>
            <w:r>
              <w:rPr>
                <w:rFonts w:ascii="Arial" w:hAnsi="Arial" w:cs="Arial"/>
                <w:sz w:val="20"/>
              </w:rPr>
              <w:t xml:space="preserve">Please replace all </w:t>
            </w:r>
            <w:proofErr w:type="spellStart"/>
            <w:r>
              <w:rPr>
                <w:rFonts w:ascii="Arial" w:hAnsi="Arial" w:cs="Arial"/>
                <w:sz w:val="20"/>
              </w:rPr>
              <w:t>occurences</w:t>
            </w:r>
            <w:proofErr w:type="spellEnd"/>
            <w:r>
              <w:rPr>
                <w:rFonts w:ascii="Arial" w:hAnsi="Arial" w:cs="Arial"/>
                <w:sz w:val="20"/>
              </w:rPr>
              <w:t xml:space="preserve"> of “BPSK with DCM” or similar with “BPSK-DCM”: P19L48, P62L32-33, P93L48, P104L36, P106L16-19, P106L27, P106L55, P107L20, P107L48, P108L16, P108L42, P120L28, P120L59, P121L28, P121L59</w:t>
            </w:r>
          </w:p>
        </w:tc>
      </w:tr>
      <w:tr w:rsidR="00F968C6"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F968C6" w:rsidRPr="00E87A08" w:rsidRDefault="00F968C6" w:rsidP="002704B8">
            <w:pPr>
              <w:jc w:val="right"/>
              <w:rPr>
                <w:rFonts w:ascii="Arial" w:hAnsi="Arial" w:cs="Arial"/>
                <w:sz w:val="20"/>
              </w:rPr>
            </w:pPr>
            <w:r w:rsidRPr="00E87A08">
              <w:rPr>
                <w:rFonts w:ascii="Arial" w:hAnsi="Arial" w:cs="Arial"/>
                <w:sz w:val="20"/>
              </w:rPr>
              <w:t>2023</w:t>
            </w:r>
          </w:p>
        </w:tc>
        <w:tc>
          <w:tcPr>
            <w:tcW w:w="343"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19.48</w:t>
            </w:r>
          </w:p>
        </w:tc>
        <w:tc>
          <w:tcPr>
            <w:tcW w:w="1292"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 xml:space="preserve">description "BPSK and DCM" seems confusing because </w:t>
            </w:r>
            <w:proofErr w:type="spellStart"/>
            <w:r>
              <w:rPr>
                <w:rFonts w:ascii="Arial" w:hAnsi="Arial" w:cs="Arial"/>
                <w:sz w:val="20"/>
              </w:rPr>
              <w:t>intetion</w:t>
            </w:r>
            <w:proofErr w:type="spellEnd"/>
            <w:r>
              <w:rPr>
                <w:rFonts w:ascii="Arial" w:hAnsi="Arial" w:cs="Arial"/>
                <w:sz w:val="20"/>
              </w:rPr>
              <w:t xml:space="preserve"> is to show one of modulation schemes. It is not separate two features. It should be BPSK with DCM or BPSK DCM as shown through the spec. Or just DCM because DCM is only applied to BPSK modulation in 11bd</w:t>
            </w:r>
          </w:p>
        </w:tc>
        <w:tc>
          <w:tcPr>
            <w:tcW w:w="1384"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as in comment</w:t>
            </w:r>
          </w:p>
        </w:tc>
        <w:tc>
          <w:tcPr>
            <w:tcW w:w="1668" w:type="pct"/>
          </w:tcPr>
          <w:p w:rsidR="00F968C6" w:rsidRDefault="00F968C6" w:rsidP="002704B8">
            <w:pPr>
              <w:rPr>
                <w:rFonts w:ascii="Arial" w:hAnsi="Arial" w:cs="Arial"/>
                <w:sz w:val="20"/>
              </w:rPr>
            </w:pPr>
            <w:r>
              <w:rPr>
                <w:rFonts w:ascii="Arial" w:hAnsi="Arial" w:cs="Arial"/>
                <w:sz w:val="20"/>
              </w:rPr>
              <w:t>Revised</w:t>
            </w:r>
          </w:p>
          <w:p w:rsidR="00F968C6" w:rsidRDefault="00390F41" w:rsidP="002704B8">
            <w:pPr>
              <w:rPr>
                <w:rFonts w:ascii="Arial" w:hAnsi="Arial" w:cs="Arial"/>
                <w:sz w:val="20"/>
              </w:rPr>
            </w:pPr>
            <w:r>
              <w:rPr>
                <w:rFonts w:ascii="Arial" w:hAnsi="Arial" w:cs="Arial"/>
                <w:sz w:val="20"/>
              </w:rPr>
              <w:t xml:space="preserve">As proposed by CID 2064 and 802.11be D1.1 </w:t>
            </w:r>
            <w:r w:rsidR="00B87559">
              <w:rPr>
                <w:rFonts w:ascii="Arial" w:hAnsi="Arial" w:cs="Arial"/>
                <w:sz w:val="20"/>
              </w:rPr>
              <w:t xml:space="preserve">all </w:t>
            </w:r>
            <w:proofErr w:type="spellStart"/>
            <w:r w:rsidR="00B87559">
              <w:rPr>
                <w:rFonts w:ascii="Arial" w:hAnsi="Arial" w:cs="Arial"/>
                <w:sz w:val="20"/>
              </w:rPr>
              <w:t>occurences</w:t>
            </w:r>
            <w:proofErr w:type="spellEnd"/>
            <w:r w:rsidR="00B87559">
              <w:rPr>
                <w:rFonts w:ascii="Arial" w:hAnsi="Arial" w:cs="Arial"/>
                <w:sz w:val="20"/>
              </w:rPr>
              <w:t xml:space="preserve"> are replaced with </w:t>
            </w:r>
            <w:r w:rsidR="00F968C6">
              <w:rPr>
                <w:rFonts w:ascii="Arial" w:hAnsi="Arial" w:cs="Arial"/>
                <w:sz w:val="20"/>
              </w:rPr>
              <w:t>“BPSK-DCM”</w:t>
            </w:r>
          </w:p>
          <w:p w:rsidR="00B87559" w:rsidRPr="00641614" w:rsidRDefault="00B87559" w:rsidP="002704B8">
            <w:pPr>
              <w:rPr>
                <w:rFonts w:ascii="Arial" w:hAnsi="Arial" w:cs="Arial"/>
                <w:sz w:val="20"/>
              </w:rPr>
            </w:pPr>
            <w:r>
              <w:rPr>
                <w:rFonts w:ascii="Arial" w:hAnsi="Arial" w:cs="Arial"/>
                <w:sz w:val="20"/>
              </w:rPr>
              <w:t xml:space="preserve">Similar comments </w:t>
            </w:r>
            <w:r w:rsidR="001500AD">
              <w:rPr>
                <w:rFonts w:ascii="Arial" w:hAnsi="Arial" w:cs="Arial"/>
                <w:sz w:val="20"/>
              </w:rPr>
              <w:t xml:space="preserve">2064, </w:t>
            </w:r>
            <w:r w:rsidR="00F968C6">
              <w:rPr>
                <w:rFonts w:ascii="Arial" w:hAnsi="Arial" w:cs="Arial"/>
                <w:sz w:val="20"/>
              </w:rPr>
              <w:t>2282</w:t>
            </w:r>
          </w:p>
        </w:tc>
      </w:tr>
      <w:tr w:rsidR="00F968C6"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F968C6" w:rsidRPr="00E87A08" w:rsidRDefault="00F968C6" w:rsidP="002704B8">
            <w:pPr>
              <w:jc w:val="right"/>
              <w:rPr>
                <w:rFonts w:ascii="Arial" w:hAnsi="Arial" w:cs="Arial"/>
                <w:sz w:val="20"/>
              </w:rPr>
            </w:pPr>
            <w:r w:rsidRPr="00E87A08">
              <w:rPr>
                <w:rFonts w:ascii="Arial" w:hAnsi="Arial" w:cs="Arial"/>
                <w:sz w:val="20"/>
              </w:rPr>
              <w:t>2282</w:t>
            </w:r>
          </w:p>
        </w:tc>
        <w:tc>
          <w:tcPr>
            <w:tcW w:w="343"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19.48</w:t>
            </w:r>
          </w:p>
        </w:tc>
        <w:tc>
          <w:tcPr>
            <w:tcW w:w="1292"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 xml:space="preserve">"Mandatory support for BPSK and DCM." The terminology varies quite a bit throughout the draft. In several other sections (for example, 32.3.11-1-4), it's "BPSK modulation with DCM". It would be clearer to adopt a </w:t>
            </w:r>
            <w:r>
              <w:rPr>
                <w:rFonts w:ascii="Arial" w:hAnsi="Arial" w:cs="Arial"/>
                <w:sz w:val="20"/>
              </w:rPr>
              <w:lastRenderedPageBreak/>
              <w:t>single term. Also, since "DCM" as a general term is applicable to more than just BPSK, it would help to clarify that only "BPSK modulation with DCM" is mandatory for NGV STAs.</w:t>
            </w:r>
          </w:p>
        </w:tc>
        <w:tc>
          <w:tcPr>
            <w:tcW w:w="1384"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lastRenderedPageBreak/>
              <w:t>Change "Mandatory support for BPSK and DCM" to "mandatory support for BPSK with DCM".</w:t>
            </w:r>
          </w:p>
        </w:tc>
        <w:tc>
          <w:tcPr>
            <w:tcW w:w="1668" w:type="pct"/>
          </w:tcPr>
          <w:p w:rsidR="00B87559" w:rsidRDefault="00B87559" w:rsidP="00B87559">
            <w:pPr>
              <w:rPr>
                <w:rFonts w:ascii="Arial" w:hAnsi="Arial" w:cs="Arial"/>
                <w:sz w:val="20"/>
              </w:rPr>
            </w:pPr>
            <w:r>
              <w:rPr>
                <w:rFonts w:ascii="Arial" w:hAnsi="Arial" w:cs="Arial"/>
                <w:sz w:val="20"/>
              </w:rPr>
              <w:t>Revised</w:t>
            </w:r>
          </w:p>
          <w:p w:rsidR="00B87559" w:rsidRDefault="00B87559" w:rsidP="00B87559">
            <w:pPr>
              <w:rPr>
                <w:rFonts w:ascii="Arial" w:hAnsi="Arial" w:cs="Arial"/>
                <w:sz w:val="20"/>
              </w:rPr>
            </w:pPr>
            <w:r>
              <w:rPr>
                <w:rFonts w:ascii="Arial" w:hAnsi="Arial" w:cs="Arial"/>
                <w:sz w:val="20"/>
              </w:rPr>
              <w:t xml:space="preserve">As proposed by CID 2064 and 802.11be D1.1 all </w:t>
            </w:r>
            <w:proofErr w:type="spellStart"/>
            <w:r>
              <w:rPr>
                <w:rFonts w:ascii="Arial" w:hAnsi="Arial" w:cs="Arial"/>
                <w:sz w:val="20"/>
              </w:rPr>
              <w:t>occurences</w:t>
            </w:r>
            <w:proofErr w:type="spellEnd"/>
            <w:r>
              <w:rPr>
                <w:rFonts w:ascii="Arial" w:hAnsi="Arial" w:cs="Arial"/>
                <w:sz w:val="20"/>
              </w:rPr>
              <w:t xml:space="preserve"> are replaced with “BPSK-DCM”</w:t>
            </w:r>
          </w:p>
          <w:p w:rsidR="00B87559" w:rsidRDefault="00B87559" w:rsidP="00B87559">
            <w:pPr>
              <w:rPr>
                <w:rFonts w:ascii="Arial" w:hAnsi="Arial" w:cs="Arial"/>
                <w:sz w:val="20"/>
              </w:rPr>
            </w:pPr>
            <w:r>
              <w:rPr>
                <w:rFonts w:ascii="Arial" w:hAnsi="Arial" w:cs="Arial"/>
                <w:sz w:val="20"/>
              </w:rPr>
              <w:t>Similar comments 2064, 2282</w:t>
            </w:r>
          </w:p>
          <w:p w:rsidR="00B87559" w:rsidRPr="00B87559" w:rsidRDefault="00B87559" w:rsidP="00B87559">
            <w:pPr>
              <w:rPr>
                <w:rFonts w:ascii="Arial" w:hAnsi="Arial" w:cs="Arial"/>
                <w:b/>
                <w:sz w:val="20"/>
                <w:u w:val="single"/>
              </w:rPr>
            </w:pPr>
            <w:proofErr w:type="spellStart"/>
            <w:r w:rsidRPr="00B87559">
              <w:rPr>
                <w:rFonts w:ascii="Arial" w:hAnsi="Arial" w:cs="Arial"/>
                <w:b/>
                <w:sz w:val="20"/>
                <w:u w:val="single"/>
              </w:rPr>
              <w:t>TGbd</w:t>
            </w:r>
            <w:proofErr w:type="spellEnd"/>
            <w:r w:rsidRPr="00B87559">
              <w:rPr>
                <w:rFonts w:ascii="Arial" w:hAnsi="Arial" w:cs="Arial"/>
                <w:b/>
                <w:sz w:val="20"/>
                <w:u w:val="single"/>
              </w:rPr>
              <w:t xml:space="preserve"> editor: </w:t>
            </w:r>
          </w:p>
          <w:p w:rsidR="00F968C6" w:rsidRPr="00641614" w:rsidRDefault="00B87559" w:rsidP="00B87559">
            <w:pPr>
              <w:rPr>
                <w:rFonts w:ascii="Arial" w:hAnsi="Arial" w:cs="Arial"/>
                <w:sz w:val="20"/>
              </w:rPr>
            </w:pPr>
            <w:r>
              <w:rPr>
                <w:rFonts w:ascii="Arial" w:hAnsi="Arial" w:cs="Arial"/>
                <w:sz w:val="20"/>
              </w:rPr>
              <w:t>Please see CID 2064</w:t>
            </w:r>
          </w:p>
        </w:tc>
      </w:tr>
      <w:tr w:rsidR="00391EBA" w:rsidTr="003A7B3A">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2219</w:t>
            </w:r>
          </w:p>
        </w:tc>
        <w:tc>
          <w:tcPr>
            <w:tcW w:w="343"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19.14</w:t>
            </w:r>
          </w:p>
        </w:tc>
        <w:tc>
          <w:tcPr>
            <w:tcW w:w="1292"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clause should not start with "The IEEE 802.11 Enhancements for" - as this phrase is not necessary in the 802.11 specification which is defining the NGV STA.</w:t>
            </w:r>
          </w:p>
        </w:tc>
        <w:tc>
          <w:tcPr>
            <w:tcW w:w="1384"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Replace: "The IEEE 802.11 Enhancements for" with: "A"</w:t>
            </w:r>
          </w:p>
        </w:tc>
        <w:tc>
          <w:tcPr>
            <w:tcW w:w="1668" w:type="pct"/>
          </w:tcPr>
          <w:p w:rsidR="00391EBA" w:rsidRDefault="00CD1F4B" w:rsidP="00391EBA">
            <w:pPr>
              <w:rPr>
                <w:rFonts w:ascii="Arial" w:hAnsi="Arial" w:cs="Arial"/>
                <w:sz w:val="20"/>
              </w:rPr>
            </w:pPr>
            <w:r>
              <w:rPr>
                <w:rFonts w:ascii="Arial" w:hAnsi="Arial" w:cs="Arial"/>
                <w:sz w:val="20"/>
              </w:rPr>
              <w:t>Revised</w:t>
            </w:r>
          </w:p>
          <w:p w:rsidR="00FA1B0E" w:rsidRDefault="00FA1B0E" w:rsidP="00391EBA">
            <w:pPr>
              <w:rPr>
                <w:rFonts w:ascii="Arial" w:hAnsi="Arial" w:cs="Arial"/>
                <w:sz w:val="20"/>
              </w:rPr>
            </w:pPr>
          </w:p>
          <w:p w:rsidR="00FA1B0E" w:rsidRPr="006277C2" w:rsidRDefault="00FA1B0E" w:rsidP="00FA1B0E">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CD1F4B" w:rsidRPr="00641614" w:rsidRDefault="00FA1B0E" w:rsidP="00391EBA">
            <w:pPr>
              <w:rPr>
                <w:rFonts w:ascii="Arial" w:hAnsi="Arial" w:cs="Arial"/>
                <w:sz w:val="20"/>
              </w:rPr>
            </w:pPr>
            <w:r>
              <w:rPr>
                <w:rFonts w:ascii="Arial" w:hAnsi="Arial" w:cs="Arial"/>
                <w:sz w:val="20"/>
              </w:rPr>
              <w:t>Please replace "The IEEE 802.11 Enhancements for" with "A</w:t>
            </w:r>
            <w:r w:rsidR="00CD1F4B">
              <w:rPr>
                <w:rFonts w:ascii="Arial" w:hAnsi="Arial" w:cs="Arial"/>
                <w:sz w:val="20"/>
              </w:rPr>
              <w:t>n</w:t>
            </w:r>
            <w:r>
              <w:rPr>
                <w:rFonts w:ascii="Arial" w:hAnsi="Arial" w:cs="Arial"/>
                <w:sz w:val="20"/>
              </w:rPr>
              <w:t>”</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2052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Be </w:t>
            </w:r>
            <w:proofErr w:type="spellStart"/>
            <w:r>
              <w:rPr>
                <w:rFonts w:ascii="Arial" w:hAnsi="Arial" w:cs="Arial"/>
                <w:sz w:val="20"/>
              </w:rPr>
              <w:t>constent</w:t>
            </w:r>
            <w:proofErr w:type="spellEnd"/>
            <w:r>
              <w:rPr>
                <w:rFonts w:ascii="Arial" w:hAnsi="Arial" w:cs="Arial"/>
                <w:sz w:val="20"/>
              </w:rPr>
              <w:t xml:space="preserve"> with the terminology. Communicating OCB here, but operating OCB elsewhere.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"communicating" to "operating"</w:t>
            </w:r>
          </w:p>
        </w:tc>
        <w:tc>
          <w:tcPr>
            <w:tcW w:w="1668" w:type="pct"/>
          </w:tcPr>
          <w:p w:rsidR="00391EBA" w:rsidRDefault="00646FF6" w:rsidP="00391EBA">
            <w:pPr>
              <w:rPr>
                <w:rFonts w:ascii="Arial" w:hAnsi="Arial" w:cs="Arial"/>
                <w:sz w:val="20"/>
              </w:rPr>
            </w:pPr>
            <w:r>
              <w:rPr>
                <w:rFonts w:ascii="Arial" w:hAnsi="Arial" w:cs="Arial"/>
                <w:sz w:val="20"/>
              </w:rPr>
              <w:t>Re</w:t>
            </w:r>
            <w:r w:rsidR="009052FF">
              <w:rPr>
                <w:rFonts w:ascii="Arial" w:hAnsi="Arial" w:cs="Arial"/>
                <w:sz w:val="20"/>
              </w:rPr>
              <w:t>ject</w:t>
            </w:r>
          </w:p>
          <w:p w:rsidR="00152196" w:rsidRDefault="00CD1F4B" w:rsidP="00152196">
            <w:pPr>
              <w:rPr>
                <w:rFonts w:ascii="Arial" w:hAnsi="Arial" w:cs="Arial"/>
                <w:sz w:val="20"/>
              </w:rPr>
            </w:pPr>
            <w:r>
              <w:rPr>
                <w:rFonts w:ascii="Arial" w:hAnsi="Arial" w:cs="Arial"/>
                <w:sz w:val="20"/>
              </w:rPr>
              <w:t xml:space="preserve">802.11-2020 usage: </w:t>
            </w:r>
          </w:p>
          <w:tbl>
            <w:tblPr>
              <w:tblStyle w:val="TableGrid"/>
              <w:tblW w:w="0" w:type="auto"/>
              <w:tblLook w:val="04A0" w:firstRow="1" w:lastRow="0" w:firstColumn="1" w:lastColumn="0" w:noHBand="0" w:noVBand="1"/>
            </w:tblPr>
            <w:tblGrid>
              <w:gridCol w:w="1662"/>
              <w:gridCol w:w="1284"/>
            </w:tblGrid>
            <w:tr w:rsidR="00152196" w:rsidTr="00152196">
              <w:tc>
                <w:tcPr>
                  <w:tcW w:w="1662" w:type="dxa"/>
                </w:tcPr>
                <w:p w:rsidR="00152196" w:rsidRDefault="00152196" w:rsidP="00152196">
                  <w:pPr>
                    <w:rPr>
                      <w:rFonts w:ascii="Arial" w:hAnsi="Arial" w:cs="Arial"/>
                      <w:sz w:val="20"/>
                    </w:rPr>
                  </w:pPr>
                  <w:r>
                    <w:rPr>
                      <w:rFonts w:ascii="Arial" w:hAnsi="Arial" w:cs="Arial"/>
                      <w:sz w:val="20"/>
                    </w:rPr>
                    <w:t>Word</w:t>
                  </w:r>
                </w:p>
              </w:tc>
              <w:tc>
                <w:tcPr>
                  <w:tcW w:w="1284" w:type="dxa"/>
                </w:tcPr>
                <w:p w:rsidR="00152196" w:rsidRDefault="00152196" w:rsidP="00152196">
                  <w:pPr>
                    <w:rPr>
                      <w:rFonts w:ascii="Arial" w:hAnsi="Arial" w:cs="Arial"/>
                      <w:sz w:val="20"/>
                    </w:rPr>
                  </w:pPr>
                  <w:proofErr w:type="spellStart"/>
                  <w:r>
                    <w:rPr>
                      <w:rFonts w:ascii="Arial" w:hAnsi="Arial" w:cs="Arial"/>
                      <w:sz w:val="20"/>
                    </w:rPr>
                    <w:t>Occruences</w:t>
                  </w:r>
                  <w:proofErr w:type="spellEnd"/>
                </w:p>
              </w:tc>
            </w:tr>
            <w:tr w:rsidR="00152196" w:rsidTr="00152196">
              <w:tc>
                <w:tcPr>
                  <w:tcW w:w="1662" w:type="dxa"/>
                </w:tcPr>
                <w:p w:rsidR="00152196" w:rsidRDefault="00152196" w:rsidP="00152196">
                  <w:pPr>
                    <w:rPr>
                      <w:rFonts w:ascii="Arial" w:hAnsi="Arial" w:cs="Arial"/>
                      <w:sz w:val="20"/>
                    </w:rPr>
                  </w:pPr>
                  <w:r>
                    <w:rPr>
                      <w:rFonts w:ascii="Arial" w:hAnsi="Arial" w:cs="Arial"/>
                      <w:sz w:val="20"/>
                    </w:rPr>
                    <w:t xml:space="preserve">operate, operation </w:t>
                  </w:r>
                </w:p>
              </w:tc>
              <w:tc>
                <w:tcPr>
                  <w:tcW w:w="1284" w:type="dxa"/>
                </w:tcPr>
                <w:p w:rsidR="00152196" w:rsidRDefault="00152196" w:rsidP="00152196">
                  <w:pPr>
                    <w:rPr>
                      <w:rFonts w:ascii="Arial" w:hAnsi="Arial" w:cs="Arial"/>
                      <w:sz w:val="20"/>
                    </w:rPr>
                  </w:pPr>
                  <w:r>
                    <w:rPr>
                      <w:rFonts w:ascii="Arial" w:hAnsi="Arial" w:cs="Arial"/>
                      <w:sz w:val="20"/>
                    </w:rPr>
                    <w:t>6</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communicate, communications</w:t>
                  </w:r>
                </w:p>
              </w:tc>
              <w:tc>
                <w:tcPr>
                  <w:tcW w:w="1284" w:type="dxa"/>
                </w:tcPr>
                <w:p w:rsidR="00152196" w:rsidRDefault="00152196" w:rsidP="00152196">
                  <w:pPr>
                    <w:rPr>
                      <w:rFonts w:ascii="Arial" w:hAnsi="Arial" w:cs="Arial"/>
                      <w:sz w:val="20"/>
                    </w:rPr>
                  </w:pPr>
                  <w:r>
                    <w:rPr>
                      <w:rFonts w:ascii="Arial" w:hAnsi="Arial" w:cs="Arial"/>
                      <w:sz w:val="20"/>
                    </w:rPr>
                    <w:t>11</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transmit, transmission</w:t>
                  </w:r>
                </w:p>
              </w:tc>
              <w:tc>
                <w:tcPr>
                  <w:tcW w:w="1284" w:type="dxa"/>
                </w:tcPr>
                <w:p w:rsidR="00152196" w:rsidRDefault="00152196" w:rsidP="00152196">
                  <w:pPr>
                    <w:rPr>
                      <w:rFonts w:ascii="Arial" w:hAnsi="Arial" w:cs="Arial"/>
                      <w:sz w:val="20"/>
                    </w:rPr>
                  </w:pPr>
                  <w:r>
                    <w:rPr>
                      <w:rFonts w:ascii="Arial" w:hAnsi="Arial" w:cs="Arial"/>
                      <w:sz w:val="20"/>
                    </w:rPr>
                    <w:t>6</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send</w:t>
                  </w:r>
                </w:p>
              </w:tc>
              <w:tc>
                <w:tcPr>
                  <w:tcW w:w="1284" w:type="dxa"/>
                </w:tcPr>
                <w:p w:rsidR="00152196" w:rsidRDefault="00152196" w:rsidP="00152196">
                  <w:pPr>
                    <w:rPr>
                      <w:rFonts w:ascii="Arial" w:hAnsi="Arial" w:cs="Arial"/>
                      <w:sz w:val="20"/>
                    </w:rPr>
                  </w:pPr>
                  <w:r>
                    <w:rPr>
                      <w:rFonts w:ascii="Arial" w:hAnsi="Arial" w:cs="Arial"/>
                      <w:sz w:val="20"/>
                    </w:rPr>
                    <w:t>1</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define</w:t>
                  </w:r>
                </w:p>
              </w:tc>
              <w:tc>
                <w:tcPr>
                  <w:tcW w:w="1284" w:type="dxa"/>
                </w:tcPr>
                <w:p w:rsidR="00152196" w:rsidRDefault="00152196" w:rsidP="00152196">
                  <w:pPr>
                    <w:rPr>
                      <w:rFonts w:ascii="Arial" w:hAnsi="Arial" w:cs="Arial"/>
                      <w:sz w:val="20"/>
                    </w:rPr>
                  </w:pPr>
                  <w:r>
                    <w:rPr>
                      <w:rFonts w:ascii="Arial" w:hAnsi="Arial" w:cs="Arial"/>
                      <w:sz w:val="20"/>
                    </w:rPr>
                    <w:t>1</w:t>
                  </w:r>
                </w:p>
              </w:tc>
            </w:tr>
          </w:tbl>
          <w:p w:rsidR="00B87559" w:rsidRDefault="00B87559" w:rsidP="00391EBA">
            <w:pPr>
              <w:rPr>
                <w:rFonts w:ascii="Arial" w:hAnsi="Arial" w:cs="Arial"/>
                <w:sz w:val="20"/>
              </w:rPr>
            </w:pPr>
            <w:r>
              <w:rPr>
                <w:rFonts w:ascii="Arial" w:hAnsi="Arial" w:cs="Arial"/>
                <w:sz w:val="20"/>
              </w:rPr>
              <w:t>11bd D2.0 usage:</w:t>
            </w:r>
          </w:p>
          <w:p w:rsidR="009052FF" w:rsidRDefault="009052FF" w:rsidP="00391EBA">
            <w:pPr>
              <w:rPr>
                <w:rFonts w:ascii="Arial" w:hAnsi="Arial" w:cs="Arial"/>
                <w:sz w:val="20"/>
              </w:rPr>
            </w:pPr>
          </w:p>
          <w:tbl>
            <w:tblPr>
              <w:tblStyle w:val="TableGrid"/>
              <w:tblW w:w="0" w:type="auto"/>
              <w:tblLook w:val="04A0" w:firstRow="1" w:lastRow="0" w:firstColumn="1" w:lastColumn="0" w:noHBand="0" w:noVBand="1"/>
            </w:tblPr>
            <w:tblGrid>
              <w:gridCol w:w="1662"/>
              <w:gridCol w:w="1284"/>
            </w:tblGrid>
            <w:tr w:rsidR="009052FF" w:rsidTr="000A7200">
              <w:tc>
                <w:tcPr>
                  <w:tcW w:w="1662" w:type="dxa"/>
                </w:tcPr>
                <w:p w:rsidR="009052FF" w:rsidRDefault="009052FF" w:rsidP="009052FF">
                  <w:pPr>
                    <w:rPr>
                      <w:rFonts w:ascii="Arial" w:hAnsi="Arial" w:cs="Arial"/>
                      <w:sz w:val="20"/>
                    </w:rPr>
                  </w:pPr>
                  <w:r>
                    <w:rPr>
                      <w:rFonts w:ascii="Arial" w:hAnsi="Arial" w:cs="Arial"/>
                      <w:sz w:val="20"/>
                    </w:rPr>
                    <w:t>Word</w:t>
                  </w:r>
                </w:p>
              </w:tc>
              <w:tc>
                <w:tcPr>
                  <w:tcW w:w="1284" w:type="dxa"/>
                </w:tcPr>
                <w:p w:rsidR="009052FF" w:rsidRDefault="009052FF" w:rsidP="009052FF">
                  <w:pPr>
                    <w:rPr>
                      <w:rFonts w:ascii="Arial" w:hAnsi="Arial" w:cs="Arial"/>
                      <w:sz w:val="20"/>
                    </w:rPr>
                  </w:pPr>
                  <w:proofErr w:type="spellStart"/>
                  <w:r>
                    <w:rPr>
                      <w:rFonts w:ascii="Arial" w:hAnsi="Arial" w:cs="Arial"/>
                      <w:sz w:val="20"/>
                    </w:rPr>
                    <w:t>Occruences</w:t>
                  </w:r>
                  <w:proofErr w:type="spellEnd"/>
                </w:p>
              </w:tc>
            </w:tr>
            <w:tr w:rsidR="009052FF" w:rsidTr="000A7200">
              <w:tc>
                <w:tcPr>
                  <w:tcW w:w="1662" w:type="dxa"/>
                </w:tcPr>
                <w:p w:rsidR="009052FF" w:rsidRDefault="009052FF" w:rsidP="009052FF">
                  <w:pPr>
                    <w:rPr>
                      <w:rFonts w:ascii="Arial" w:hAnsi="Arial" w:cs="Arial"/>
                      <w:sz w:val="20"/>
                    </w:rPr>
                  </w:pPr>
                  <w:r>
                    <w:rPr>
                      <w:rFonts w:ascii="Arial" w:hAnsi="Arial" w:cs="Arial"/>
                      <w:sz w:val="20"/>
                    </w:rPr>
                    <w:t xml:space="preserve">operate, operation </w:t>
                  </w:r>
                </w:p>
              </w:tc>
              <w:tc>
                <w:tcPr>
                  <w:tcW w:w="1284" w:type="dxa"/>
                </w:tcPr>
                <w:p w:rsidR="009052FF" w:rsidRDefault="009052FF" w:rsidP="009052FF">
                  <w:pPr>
                    <w:rPr>
                      <w:rFonts w:ascii="Arial" w:hAnsi="Arial" w:cs="Arial"/>
                      <w:sz w:val="20"/>
                    </w:rPr>
                  </w:pPr>
                  <w:r>
                    <w:rPr>
                      <w:rFonts w:ascii="Arial" w:hAnsi="Arial" w:cs="Arial"/>
                      <w:sz w:val="20"/>
                    </w:rPr>
                    <w:t>16</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communicate, communications</w:t>
                  </w:r>
                </w:p>
              </w:tc>
              <w:tc>
                <w:tcPr>
                  <w:tcW w:w="1284" w:type="dxa"/>
                </w:tcPr>
                <w:p w:rsidR="009052FF" w:rsidRDefault="009052FF" w:rsidP="009052FF">
                  <w:pPr>
                    <w:rPr>
                      <w:rFonts w:ascii="Arial" w:hAnsi="Arial" w:cs="Arial"/>
                      <w:sz w:val="20"/>
                    </w:rPr>
                  </w:pPr>
                  <w:r>
                    <w:rPr>
                      <w:rFonts w:ascii="Arial" w:hAnsi="Arial" w:cs="Arial"/>
                      <w:sz w:val="20"/>
                    </w:rPr>
                    <w:t>13</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transmit, transmission</w:t>
                  </w:r>
                </w:p>
              </w:tc>
              <w:tc>
                <w:tcPr>
                  <w:tcW w:w="1284" w:type="dxa"/>
                </w:tcPr>
                <w:p w:rsidR="009052FF" w:rsidRDefault="009052FF" w:rsidP="009052FF">
                  <w:pPr>
                    <w:rPr>
                      <w:rFonts w:ascii="Arial" w:hAnsi="Arial" w:cs="Arial"/>
                      <w:sz w:val="20"/>
                    </w:rPr>
                  </w:pPr>
                  <w:r>
                    <w:rPr>
                      <w:rFonts w:ascii="Arial" w:hAnsi="Arial" w:cs="Arial"/>
                      <w:sz w:val="20"/>
                    </w:rPr>
                    <w:t>12</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Discovery</w:t>
                  </w:r>
                </w:p>
              </w:tc>
              <w:tc>
                <w:tcPr>
                  <w:tcW w:w="1284" w:type="dxa"/>
                </w:tcPr>
                <w:p w:rsidR="009052FF" w:rsidRDefault="009052FF" w:rsidP="009052FF">
                  <w:pPr>
                    <w:rPr>
                      <w:rFonts w:ascii="Arial" w:hAnsi="Arial" w:cs="Arial"/>
                      <w:sz w:val="20"/>
                    </w:rPr>
                  </w:pPr>
                  <w:r>
                    <w:rPr>
                      <w:rFonts w:ascii="Arial" w:hAnsi="Arial" w:cs="Arial"/>
                      <w:sz w:val="20"/>
                    </w:rPr>
                    <w:t>14</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Beamforming</w:t>
                  </w:r>
                </w:p>
              </w:tc>
              <w:tc>
                <w:tcPr>
                  <w:tcW w:w="1284" w:type="dxa"/>
                </w:tcPr>
                <w:p w:rsidR="009052FF" w:rsidRDefault="009052FF" w:rsidP="009052FF">
                  <w:pPr>
                    <w:rPr>
                      <w:rFonts w:ascii="Arial" w:hAnsi="Arial" w:cs="Arial"/>
                      <w:sz w:val="20"/>
                    </w:rPr>
                  </w:pPr>
                  <w:r>
                    <w:rPr>
                      <w:rFonts w:ascii="Arial" w:hAnsi="Arial" w:cs="Arial"/>
                      <w:sz w:val="20"/>
                    </w:rPr>
                    <w:t>4</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Receiving</w:t>
                  </w:r>
                </w:p>
              </w:tc>
              <w:tc>
                <w:tcPr>
                  <w:tcW w:w="1284" w:type="dxa"/>
                </w:tcPr>
                <w:p w:rsidR="009052FF" w:rsidRDefault="009052FF" w:rsidP="009052FF">
                  <w:pPr>
                    <w:rPr>
                      <w:rFonts w:ascii="Arial" w:hAnsi="Arial" w:cs="Arial"/>
                      <w:sz w:val="20"/>
                    </w:rPr>
                  </w:pPr>
                  <w:r>
                    <w:rPr>
                      <w:rFonts w:ascii="Arial" w:hAnsi="Arial" w:cs="Arial"/>
                      <w:sz w:val="20"/>
                    </w:rPr>
                    <w:t>1</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Support</w:t>
                  </w:r>
                </w:p>
              </w:tc>
              <w:tc>
                <w:tcPr>
                  <w:tcW w:w="1284" w:type="dxa"/>
                </w:tcPr>
                <w:p w:rsidR="009052FF" w:rsidRDefault="009052FF" w:rsidP="009052FF">
                  <w:pPr>
                    <w:rPr>
                      <w:rFonts w:ascii="Arial" w:hAnsi="Arial" w:cs="Arial"/>
                      <w:sz w:val="20"/>
                    </w:rPr>
                  </w:pPr>
                  <w:r>
                    <w:rPr>
                      <w:rFonts w:ascii="Arial" w:hAnsi="Arial" w:cs="Arial"/>
                      <w:sz w:val="20"/>
                    </w:rPr>
                    <w:t>1</w:t>
                  </w:r>
                </w:p>
              </w:tc>
            </w:tr>
          </w:tbl>
          <w:p w:rsidR="009052FF" w:rsidRDefault="009052FF" w:rsidP="00391EBA">
            <w:pPr>
              <w:rPr>
                <w:rFonts w:ascii="Arial" w:hAnsi="Arial" w:cs="Arial"/>
                <w:sz w:val="20"/>
              </w:rPr>
            </w:pPr>
          </w:p>
          <w:p w:rsidR="00646FF6" w:rsidRPr="00641614" w:rsidRDefault="009052FF" w:rsidP="00391EBA">
            <w:pPr>
              <w:rPr>
                <w:rFonts w:ascii="Arial" w:hAnsi="Arial" w:cs="Arial"/>
                <w:sz w:val="20"/>
              </w:rPr>
            </w:pPr>
            <w:r>
              <w:rPr>
                <w:rFonts w:ascii="Arial" w:hAnsi="Arial" w:cs="Arial"/>
                <w:sz w:val="20"/>
              </w:rPr>
              <w:t>As can be seen from the search in 802.11-2020 and 11bd D2.0 there is nothing like a “consistent” use of the terms “communicating/communications” and “operating/operations”.</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2022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no comma required between "5.9 GHz band" </w:t>
            </w:r>
            <w:proofErr w:type="gramStart"/>
            <w:r>
              <w:rPr>
                <w:rFonts w:ascii="Arial" w:hAnsi="Arial" w:cs="Arial"/>
                <w:sz w:val="20"/>
              </w:rPr>
              <w:t>and  "</w:t>
            </w:r>
            <w:proofErr w:type="gramEnd"/>
            <w:r>
              <w:rPr>
                <w:rFonts w:ascii="Arial" w:hAnsi="Arial" w:cs="Arial"/>
                <w:sz w:val="20"/>
              </w:rPr>
              <w:t>as defined"</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2077</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Clauses E2.3 and E2.4 should be subclauses E2.3 and E2.4 since they are in Annex 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lastRenderedPageBreak/>
              <w:t>2054</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19.24</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Use the singular; the implementer is not implementing all NGV STAs, only one.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At 19.24 and 19.27, change "NGV STAs" to "An NGV STA"</w:t>
            </w:r>
            <w:r>
              <w:rPr>
                <w:rFonts w:ascii="Arial" w:hAnsi="Arial" w:cs="Arial"/>
                <w:sz w:val="20"/>
              </w:rPr>
              <w:br/>
              <w:t>At 19.33 change "NGV STAs support" to "An NGV STA supports"</w:t>
            </w:r>
            <w:r>
              <w:rPr>
                <w:rFonts w:ascii="Arial" w:hAnsi="Arial" w:cs="Arial"/>
                <w:sz w:val="20"/>
              </w:rPr>
              <w:br/>
              <w:t>At 19.37 change "NGV STAs are" to "AN NGV STA is"</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2220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19.37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OCB is well defined in clause 4.3.17 of the baseline specification, there is no need to explain or define it in clause 4.3.17a.</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"NGV STAs are capable of transmitting and receiving frames outside the context of a BSS (dot11OCBActiviated is true) as specified in 11.18 (STAs communicating Data frames outside the context of a BSS)."</w:t>
            </w:r>
            <w:r>
              <w:rPr>
                <w:rFonts w:ascii="Arial" w:hAnsi="Arial" w:cs="Arial"/>
                <w:sz w:val="20"/>
              </w:rPr>
              <w:br/>
              <w:t>To:</w:t>
            </w:r>
            <w:r>
              <w:rPr>
                <w:rFonts w:ascii="Arial" w:hAnsi="Arial" w:cs="Arial"/>
                <w:sz w:val="20"/>
              </w:rPr>
              <w:br/>
              <w:t>NGV STAs are capable OCB operation as specified in 11.18 (STAs communicating Data frames outside the context of a BSS)."</w:t>
            </w:r>
          </w:p>
        </w:tc>
        <w:tc>
          <w:tcPr>
            <w:tcW w:w="1668" w:type="pct"/>
          </w:tcPr>
          <w:p w:rsidR="00391EBA" w:rsidRDefault="003D2761" w:rsidP="00391EBA">
            <w:pPr>
              <w:rPr>
                <w:rFonts w:ascii="Arial" w:hAnsi="Arial" w:cs="Arial"/>
                <w:sz w:val="20"/>
              </w:rPr>
            </w:pPr>
            <w:r>
              <w:rPr>
                <w:rFonts w:ascii="Arial" w:hAnsi="Arial" w:cs="Arial"/>
                <w:sz w:val="20"/>
              </w:rPr>
              <w:t>Revised</w:t>
            </w:r>
          </w:p>
          <w:p w:rsidR="001C76CC" w:rsidRDefault="001C76CC" w:rsidP="00391EBA">
            <w:pPr>
              <w:rPr>
                <w:rFonts w:ascii="Arial" w:hAnsi="Arial" w:cs="Arial"/>
                <w:sz w:val="20"/>
              </w:rPr>
            </w:pPr>
          </w:p>
          <w:p w:rsidR="001C76CC" w:rsidRDefault="001C76CC" w:rsidP="00391EBA">
            <w:pPr>
              <w:rPr>
                <w:rFonts w:ascii="Arial" w:hAnsi="Arial" w:cs="Arial"/>
                <w:sz w:val="20"/>
              </w:rPr>
            </w:pPr>
            <w:r>
              <w:rPr>
                <w:rFonts w:ascii="Arial" w:hAnsi="Arial" w:cs="Arial"/>
                <w:sz w:val="20"/>
              </w:rPr>
              <w:t>Agree with the comment.</w:t>
            </w:r>
            <w:r w:rsidR="009052FF">
              <w:rPr>
                <w:rFonts w:ascii="Arial" w:hAnsi="Arial" w:cs="Arial"/>
                <w:sz w:val="20"/>
              </w:rPr>
              <w:t xml:space="preserve"> Since OCB is introduced in subclause 4.3.17, there is no need to reintroduce it in 4.3.17a.</w:t>
            </w:r>
          </w:p>
          <w:p w:rsidR="001C76CC" w:rsidRDefault="001C76CC" w:rsidP="00391EBA">
            <w:pPr>
              <w:rPr>
                <w:rFonts w:ascii="Arial" w:hAnsi="Arial" w:cs="Arial"/>
                <w:sz w:val="20"/>
              </w:rPr>
            </w:pPr>
          </w:p>
          <w:p w:rsidR="001C76CC" w:rsidRPr="006277C2" w:rsidRDefault="001C76CC" w:rsidP="001C76CC">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1C76CC" w:rsidRDefault="001C76CC" w:rsidP="001C76CC">
            <w:pPr>
              <w:rPr>
                <w:rFonts w:ascii="Arial" w:hAnsi="Arial" w:cs="Arial"/>
                <w:sz w:val="20"/>
              </w:rPr>
            </w:pPr>
            <w:r>
              <w:rPr>
                <w:rFonts w:ascii="Arial" w:hAnsi="Arial" w:cs="Arial"/>
                <w:sz w:val="20"/>
              </w:rPr>
              <w:t>Please</w:t>
            </w:r>
            <w:r w:rsidR="009052FF">
              <w:rPr>
                <w:rFonts w:ascii="Arial" w:hAnsi="Arial" w:cs="Arial"/>
                <w:sz w:val="20"/>
              </w:rPr>
              <w:t xml:space="preserve"> replace all </w:t>
            </w:r>
            <w:proofErr w:type="spellStart"/>
            <w:r w:rsidR="009052FF">
              <w:rPr>
                <w:rFonts w:ascii="Arial" w:hAnsi="Arial" w:cs="Arial"/>
                <w:sz w:val="20"/>
              </w:rPr>
              <w:t>occurences</w:t>
            </w:r>
            <w:proofErr w:type="spellEnd"/>
            <w:r w:rsidR="009052FF">
              <w:rPr>
                <w:rFonts w:ascii="Arial" w:hAnsi="Arial" w:cs="Arial"/>
                <w:sz w:val="20"/>
              </w:rPr>
              <w:t xml:space="preserve"> of “</w:t>
            </w:r>
            <w:proofErr w:type="spellStart"/>
            <w:r w:rsidR="009052FF">
              <w:rPr>
                <w:rFonts w:ascii="Arial" w:hAnsi="Arial" w:cs="Arial"/>
                <w:sz w:val="20"/>
              </w:rPr>
              <w:t>out side</w:t>
            </w:r>
            <w:proofErr w:type="spellEnd"/>
            <w:r w:rsidR="009052FF">
              <w:rPr>
                <w:rFonts w:ascii="Arial" w:hAnsi="Arial" w:cs="Arial"/>
                <w:sz w:val="20"/>
              </w:rPr>
              <w:t xml:space="preserve"> the context of a BSS”</w:t>
            </w:r>
            <w:r w:rsidR="00E22599">
              <w:rPr>
                <w:rFonts w:ascii="Arial" w:hAnsi="Arial" w:cs="Arial"/>
                <w:sz w:val="20"/>
              </w:rPr>
              <w:t>,</w:t>
            </w:r>
            <w:r w:rsidR="009052FF">
              <w:rPr>
                <w:rFonts w:ascii="Arial" w:hAnsi="Arial" w:cs="Arial"/>
                <w:sz w:val="20"/>
              </w:rPr>
              <w:t xml:space="preserve"> </w:t>
            </w:r>
            <w:r w:rsidR="00E22599">
              <w:rPr>
                <w:rFonts w:ascii="Arial" w:hAnsi="Arial" w:cs="Arial"/>
                <w:sz w:val="20"/>
              </w:rPr>
              <w:t>“</w:t>
            </w:r>
            <w:proofErr w:type="spellStart"/>
            <w:r w:rsidR="00E22599">
              <w:rPr>
                <w:rFonts w:ascii="Arial" w:hAnsi="Arial" w:cs="Arial"/>
                <w:sz w:val="20"/>
              </w:rPr>
              <w:t>out side</w:t>
            </w:r>
            <w:proofErr w:type="spellEnd"/>
            <w:r w:rsidR="00E22599">
              <w:rPr>
                <w:rFonts w:ascii="Arial" w:hAnsi="Arial" w:cs="Arial"/>
                <w:sz w:val="20"/>
              </w:rPr>
              <w:t xml:space="preserve"> the context of a BSS (OCB)” or “</w:t>
            </w:r>
            <w:proofErr w:type="spellStart"/>
            <w:r w:rsidR="00E22599">
              <w:rPr>
                <w:rFonts w:ascii="Arial" w:hAnsi="Arial" w:cs="Arial"/>
                <w:sz w:val="20"/>
              </w:rPr>
              <w:t>out side</w:t>
            </w:r>
            <w:proofErr w:type="spellEnd"/>
            <w:r w:rsidR="00E22599">
              <w:rPr>
                <w:rFonts w:ascii="Arial" w:hAnsi="Arial" w:cs="Arial"/>
                <w:sz w:val="20"/>
              </w:rPr>
              <w:t xml:space="preserve"> the context of a BSS (dot11OCBActivated is true)”</w:t>
            </w:r>
            <w:r w:rsidR="009052FF">
              <w:rPr>
                <w:rFonts w:ascii="Arial" w:hAnsi="Arial" w:cs="Arial"/>
                <w:sz w:val="20"/>
              </w:rPr>
              <w:t xml:space="preserve"> </w:t>
            </w:r>
            <w:r w:rsidR="00E22599">
              <w:rPr>
                <w:rFonts w:ascii="Arial" w:hAnsi="Arial" w:cs="Arial"/>
                <w:sz w:val="20"/>
              </w:rPr>
              <w:t xml:space="preserve">with OCB </w:t>
            </w:r>
            <w:r w:rsidR="009052FF">
              <w:rPr>
                <w:rFonts w:ascii="Arial" w:hAnsi="Arial" w:cs="Arial"/>
                <w:sz w:val="20"/>
              </w:rPr>
              <w:t>in subclause 4.3.17a</w:t>
            </w:r>
            <w:r w:rsidR="00E22599">
              <w:rPr>
                <w:rFonts w:ascii="Arial" w:hAnsi="Arial" w:cs="Arial"/>
                <w:sz w:val="20"/>
              </w:rPr>
              <w:t>.</w:t>
            </w:r>
          </w:p>
          <w:p w:rsidR="00E22599" w:rsidRPr="00641614" w:rsidRDefault="00E22599" w:rsidP="001C76CC">
            <w:pPr>
              <w:rPr>
                <w:rFonts w:ascii="Arial" w:hAnsi="Arial" w:cs="Arial"/>
                <w:sz w:val="20"/>
              </w:rPr>
            </w:pPr>
            <w:r>
              <w:rPr>
                <w:rFonts w:ascii="Arial" w:hAnsi="Arial" w:cs="Arial"/>
                <w:sz w:val="20"/>
              </w:rPr>
              <w:t xml:space="preserve">Note in D2.0 there are three </w:t>
            </w:r>
            <w:proofErr w:type="spellStart"/>
            <w:r>
              <w:rPr>
                <w:rFonts w:ascii="Arial" w:hAnsi="Arial" w:cs="Arial"/>
                <w:sz w:val="20"/>
              </w:rPr>
              <w:t>occurences</w:t>
            </w:r>
            <w:proofErr w:type="spellEnd"/>
            <w:r>
              <w:rPr>
                <w:rFonts w:ascii="Arial" w:hAnsi="Arial" w:cs="Arial"/>
                <w:sz w:val="20"/>
              </w:rPr>
              <w:t xml:space="preserve"> on P19: L11, L18, L37. In D2.1 there are three </w:t>
            </w:r>
            <w:proofErr w:type="spellStart"/>
            <w:r>
              <w:rPr>
                <w:rFonts w:ascii="Arial" w:hAnsi="Arial" w:cs="Arial"/>
                <w:sz w:val="20"/>
              </w:rPr>
              <w:t>occurences</w:t>
            </w:r>
            <w:proofErr w:type="spellEnd"/>
            <w:r>
              <w:rPr>
                <w:rFonts w:ascii="Arial" w:hAnsi="Arial" w:cs="Arial"/>
                <w:sz w:val="20"/>
              </w:rPr>
              <w:t xml:space="preserve"> on P19: L29, L35, L48</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2127</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19.41</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transmission of non-NGV duplicate PPDUs is a main PHY feature distinguishing an NGV STA from a non-NGV STA. Please add the following bullet to the end of the bullet list on line </w:t>
            </w:r>
            <w:proofErr w:type="gramStart"/>
            <w:r>
              <w:rPr>
                <w:rFonts w:ascii="Arial" w:hAnsi="Arial" w:cs="Arial"/>
                <w:sz w:val="20"/>
              </w:rPr>
              <w:t>53 :</w:t>
            </w:r>
            <w:proofErr w:type="gramEnd"/>
            <w:r>
              <w:rPr>
                <w:rFonts w:ascii="Arial" w:hAnsi="Arial" w:cs="Arial"/>
                <w:sz w:val="20"/>
              </w:rPr>
              <w:br/>
              <w:t>"* Optional support for 20 MHz non-NGV duplicate PPDUs"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w:t>
            </w:r>
            <w:r w:rsidR="00F31F32">
              <w:rPr>
                <w:rFonts w:ascii="Arial" w:hAnsi="Arial" w:cs="Arial"/>
                <w:sz w:val="20"/>
              </w:rPr>
              <w:t>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60400C">
              <w:rPr>
                <w:rFonts w:ascii="Arial" w:hAnsi="Arial" w:cs="Arial"/>
                <w:sz w:val="20"/>
              </w:rPr>
              <w:t>2239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19.55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There is a (probably unintentional) discrepancy in the use of "coexistence" between the PHY requirements and the MAC requirements for an NGV STA.  The PHY requirement is simply "coexistence with non-NGV STAs" [p. 19, line 55].  The MAC requirement is more completely stated as "same channel coexistence </w:t>
            </w:r>
            <w:r>
              <w:rPr>
                <w:rFonts w:ascii="Arial" w:hAnsi="Arial" w:cs="Arial"/>
                <w:sz w:val="20"/>
              </w:rPr>
              <w:lastRenderedPageBreak/>
              <w:t>with non-NGV STAs". Both requirements should be for same-channel coexistence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Change "support for coexistence" to "support for same-channel coexistence". Also, on p. 20 line 5 insert a hyphen to change "same channel" to "same-channel".</w:t>
            </w:r>
          </w:p>
        </w:tc>
        <w:tc>
          <w:tcPr>
            <w:tcW w:w="1668" w:type="pct"/>
          </w:tcPr>
          <w:p w:rsidR="00895609" w:rsidRDefault="00985954" w:rsidP="00391EBA">
            <w:pPr>
              <w:rPr>
                <w:rFonts w:ascii="Arial" w:hAnsi="Arial" w:cs="Arial"/>
                <w:sz w:val="20"/>
              </w:rPr>
            </w:pPr>
            <w:r>
              <w:rPr>
                <w:rFonts w:ascii="Arial" w:hAnsi="Arial" w:cs="Arial"/>
                <w:sz w:val="20"/>
              </w:rPr>
              <w:t>Accepted</w:t>
            </w:r>
          </w:p>
          <w:p w:rsidR="00895609" w:rsidRDefault="00895609" w:rsidP="00391EBA">
            <w:pPr>
              <w:rPr>
                <w:rFonts w:ascii="Arial" w:hAnsi="Arial" w:cs="Arial"/>
                <w:sz w:val="20"/>
              </w:rPr>
            </w:pPr>
          </w:p>
          <w:p w:rsidR="00895609" w:rsidRDefault="00895609" w:rsidP="00391EBA">
            <w:pPr>
              <w:rPr>
                <w:rFonts w:ascii="Arial" w:hAnsi="Arial" w:cs="Arial"/>
                <w:b/>
                <w:sz w:val="20"/>
                <w:u w:val="single"/>
              </w:rPr>
            </w:pPr>
            <w:proofErr w:type="spellStart"/>
            <w:r w:rsidRPr="00895609">
              <w:rPr>
                <w:rFonts w:ascii="Arial" w:hAnsi="Arial" w:cs="Arial"/>
                <w:b/>
                <w:sz w:val="20"/>
                <w:u w:val="single"/>
              </w:rPr>
              <w:t>TGbd</w:t>
            </w:r>
            <w:proofErr w:type="spellEnd"/>
            <w:r w:rsidRPr="00895609">
              <w:rPr>
                <w:rFonts w:ascii="Arial" w:hAnsi="Arial" w:cs="Arial"/>
                <w:b/>
                <w:sz w:val="20"/>
                <w:u w:val="single"/>
              </w:rPr>
              <w:t xml:space="preserve"> editor:</w:t>
            </w:r>
          </w:p>
          <w:p w:rsidR="00895609" w:rsidRPr="00895609" w:rsidRDefault="00895609" w:rsidP="00391EBA">
            <w:pPr>
              <w:rPr>
                <w:rFonts w:ascii="Arial" w:hAnsi="Arial" w:cs="Arial"/>
                <w:sz w:val="20"/>
              </w:rPr>
            </w:pPr>
            <w:r>
              <w:rPr>
                <w:rFonts w:ascii="Arial" w:hAnsi="Arial" w:cs="Arial"/>
                <w:sz w:val="20"/>
              </w:rPr>
              <w:t xml:space="preserve">Please verify 802.11 style </w:t>
            </w:r>
            <w:proofErr w:type="spellStart"/>
            <w:r>
              <w:rPr>
                <w:rFonts w:ascii="Arial" w:hAnsi="Arial" w:cs="Arial"/>
                <w:sz w:val="20"/>
              </w:rPr>
              <w:t>guid</w:t>
            </w:r>
            <w:proofErr w:type="spellEnd"/>
            <w:r>
              <w:rPr>
                <w:rFonts w:ascii="Arial" w:hAnsi="Arial" w:cs="Arial"/>
                <w:sz w:val="20"/>
              </w:rPr>
              <w:t xml:space="preserve"> and change </w:t>
            </w:r>
            <w:r w:rsidR="0060400C">
              <w:rPr>
                <w:rFonts w:ascii="Arial" w:hAnsi="Arial" w:cs="Arial"/>
                <w:sz w:val="20"/>
              </w:rPr>
              <w:t>if necessary to</w:t>
            </w:r>
            <w:r>
              <w:rPr>
                <w:rFonts w:ascii="Arial" w:hAnsi="Arial" w:cs="Arial"/>
                <w:sz w:val="20"/>
              </w:rPr>
              <w:t xml:space="preserve"> "support for same channel coexistence".</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025B6A" w:rsidRDefault="00391EBA" w:rsidP="00391EBA">
            <w:pPr>
              <w:jc w:val="right"/>
              <w:rPr>
                <w:rFonts w:ascii="Arial" w:hAnsi="Arial" w:cs="Arial"/>
                <w:sz w:val="20"/>
                <w:highlight w:val="yellow"/>
              </w:rPr>
            </w:pPr>
            <w:r w:rsidRPr="00025B6A">
              <w:rPr>
                <w:rFonts w:ascii="Arial" w:hAnsi="Arial" w:cs="Arial"/>
                <w:sz w:val="20"/>
                <w:highlight w:val="yellow"/>
              </w:rPr>
              <w:t>2221</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19.59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statement "Additional main PHY features" doesn't makes sense to me, I think these are simply "Additional PHY features"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"Additional main PHY features in an NGV STA are the following:"</w:t>
            </w:r>
            <w:r>
              <w:rPr>
                <w:rFonts w:ascii="Arial" w:hAnsi="Arial" w:cs="Arial"/>
                <w:sz w:val="20"/>
              </w:rPr>
              <w:br/>
              <w:t>To: "Additional PHY features in an NGV STA are the following:"</w:t>
            </w:r>
          </w:p>
        </w:tc>
        <w:tc>
          <w:tcPr>
            <w:tcW w:w="1668" w:type="pct"/>
          </w:tcPr>
          <w:p w:rsidR="00AB25D4" w:rsidRDefault="00A704DC" w:rsidP="00AB25D4">
            <w:pPr>
              <w:rPr>
                <w:rFonts w:ascii="Arial" w:hAnsi="Arial" w:cs="Arial"/>
                <w:sz w:val="20"/>
              </w:rPr>
            </w:pPr>
            <w:r>
              <w:rPr>
                <w:rFonts w:ascii="Arial" w:hAnsi="Arial" w:cs="Arial"/>
                <w:sz w:val="20"/>
              </w:rPr>
              <w:t>Revised</w:t>
            </w:r>
          </w:p>
          <w:p w:rsidR="00A704DC" w:rsidRDefault="00A704DC" w:rsidP="00AB25D4">
            <w:pPr>
              <w:rPr>
                <w:rFonts w:ascii="Arial" w:hAnsi="Arial" w:cs="Arial"/>
                <w:sz w:val="20"/>
              </w:rPr>
            </w:pPr>
          </w:p>
          <w:p w:rsidR="00C51003" w:rsidRDefault="00C51003" w:rsidP="00AB25D4">
            <w:pPr>
              <w:rPr>
                <w:rFonts w:ascii="Arial" w:hAnsi="Arial" w:cs="Arial"/>
                <w:sz w:val="20"/>
              </w:rPr>
            </w:pPr>
            <w:r>
              <w:rPr>
                <w:rFonts w:ascii="Arial" w:hAnsi="Arial" w:cs="Arial"/>
                <w:sz w:val="20"/>
              </w:rPr>
              <w:t xml:space="preserve">Agree with the comment. After discussion, the feature list </w:t>
            </w:r>
            <w:r w:rsidR="00E2022A">
              <w:rPr>
                <w:rFonts w:ascii="Arial" w:hAnsi="Arial" w:cs="Arial"/>
                <w:sz w:val="20"/>
              </w:rPr>
              <w:t xml:space="preserve">is </w:t>
            </w:r>
            <w:r>
              <w:rPr>
                <w:rFonts w:ascii="Arial" w:hAnsi="Arial" w:cs="Arial"/>
                <w:sz w:val="20"/>
              </w:rPr>
              <w:t>updated.</w:t>
            </w:r>
          </w:p>
          <w:p w:rsidR="00C51003" w:rsidRDefault="00C51003" w:rsidP="00AB25D4">
            <w:pPr>
              <w:rPr>
                <w:rFonts w:ascii="Arial" w:hAnsi="Arial" w:cs="Arial"/>
                <w:sz w:val="20"/>
              </w:rPr>
            </w:pPr>
          </w:p>
          <w:p w:rsidR="00C51003" w:rsidRPr="00C51003" w:rsidRDefault="00C51003" w:rsidP="00AB25D4">
            <w:pPr>
              <w:rPr>
                <w:rFonts w:ascii="Arial" w:hAnsi="Arial" w:cs="Arial"/>
                <w:b/>
                <w:sz w:val="20"/>
                <w:u w:val="single"/>
              </w:rPr>
            </w:pPr>
            <w:proofErr w:type="spellStart"/>
            <w:r w:rsidRPr="00C51003">
              <w:rPr>
                <w:rFonts w:ascii="Arial" w:hAnsi="Arial" w:cs="Arial"/>
                <w:b/>
                <w:sz w:val="20"/>
                <w:u w:val="single"/>
              </w:rPr>
              <w:t>TGbd</w:t>
            </w:r>
            <w:proofErr w:type="spellEnd"/>
            <w:r w:rsidRPr="00C51003">
              <w:rPr>
                <w:rFonts w:ascii="Arial" w:hAnsi="Arial" w:cs="Arial"/>
                <w:b/>
                <w:sz w:val="20"/>
                <w:u w:val="single"/>
              </w:rPr>
              <w:t xml:space="preserve"> editor:</w:t>
            </w:r>
          </w:p>
          <w:p w:rsidR="00C51003" w:rsidRPr="00641614" w:rsidRDefault="00C51003" w:rsidP="00AB25D4">
            <w:pPr>
              <w:rPr>
                <w:rFonts w:ascii="Arial" w:hAnsi="Arial" w:cs="Arial"/>
                <w:sz w:val="20"/>
              </w:rPr>
            </w:pPr>
            <w:r>
              <w:rPr>
                <w:rFonts w:ascii="Arial" w:hAnsi="Arial" w:cs="Arial"/>
                <w:sz w:val="20"/>
              </w:rPr>
              <w:t xml:space="preserve">Please incorporate the changes in </w:t>
            </w:r>
            <w:hyperlink r:id="rId8" w:history="1">
              <w:r w:rsidRPr="0087268A">
                <w:rPr>
                  <w:rStyle w:val="Hyperlink"/>
                  <w:rFonts w:ascii="Arial" w:hAnsi="Arial" w:cs="Arial"/>
                  <w:sz w:val="20"/>
                </w:rPr>
                <w:t>https://mentor.ieee.org/802.11/dcn/21/11-21-1722-01-00bd-lb254-comment-resolution-for-11bd-d2-0-clause-4.docx</w:t>
              </w:r>
            </w:hyperlink>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2129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20.15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last </w:t>
            </w:r>
            <w:proofErr w:type="spellStart"/>
            <w:r>
              <w:rPr>
                <w:rFonts w:ascii="Arial" w:hAnsi="Arial" w:cs="Arial"/>
                <w:sz w:val="20"/>
              </w:rPr>
              <w:t>pargraph</w:t>
            </w:r>
            <w:proofErr w:type="spellEnd"/>
            <w:r>
              <w:rPr>
                <w:rFonts w:ascii="Arial" w:hAnsi="Arial" w:cs="Arial"/>
                <w:sz w:val="20"/>
              </w:rPr>
              <w:t xml:space="preserve"> in Clause 31.2.3 states that "An NGV STA shall support block ack". Hence add a bullet before line 15 as follows:</w:t>
            </w:r>
            <w:r>
              <w:rPr>
                <w:rFonts w:ascii="Arial" w:hAnsi="Arial" w:cs="Arial"/>
                <w:sz w:val="20"/>
              </w:rPr>
              <w:br/>
              <w:t>"- Mandatory support for block ack"</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926385"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025B6A">
              <w:rPr>
                <w:rFonts w:ascii="Arial" w:hAnsi="Arial" w:cs="Arial"/>
                <w:sz w:val="20"/>
                <w:highlight w:val="yellow"/>
              </w:rPr>
              <w:t>2222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20.18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statement "Additional main MAC features" doesn't makes sense to me, I think these are simply "Additional MAC features"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"Additional main MAC features in an NGV STA are the following:"</w:t>
            </w:r>
            <w:r>
              <w:rPr>
                <w:rFonts w:ascii="Arial" w:hAnsi="Arial" w:cs="Arial"/>
                <w:sz w:val="20"/>
              </w:rPr>
              <w:br/>
              <w:t>To: "Additional MAC features in an NGV STA are the following:"</w:t>
            </w:r>
          </w:p>
        </w:tc>
        <w:tc>
          <w:tcPr>
            <w:tcW w:w="1668" w:type="pct"/>
          </w:tcPr>
          <w:p w:rsidR="00391EBA" w:rsidRDefault="00025B6A" w:rsidP="00391EBA">
            <w:pPr>
              <w:rPr>
                <w:rFonts w:ascii="Arial" w:hAnsi="Arial" w:cs="Arial"/>
                <w:sz w:val="20"/>
              </w:rPr>
            </w:pPr>
            <w:r>
              <w:rPr>
                <w:rFonts w:ascii="Arial" w:hAnsi="Arial" w:cs="Arial"/>
                <w:sz w:val="20"/>
              </w:rPr>
              <w:t>Revised</w:t>
            </w:r>
          </w:p>
          <w:p w:rsidR="00025B6A" w:rsidRDefault="00025B6A" w:rsidP="00391EBA">
            <w:pPr>
              <w:rPr>
                <w:rFonts w:ascii="Arial" w:hAnsi="Arial" w:cs="Arial"/>
                <w:sz w:val="20"/>
              </w:rPr>
            </w:pPr>
          </w:p>
          <w:p w:rsidR="00C51003" w:rsidRDefault="00C51003" w:rsidP="00C51003">
            <w:pPr>
              <w:rPr>
                <w:rFonts w:ascii="Arial" w:hAnsi="Arial" w:cs="Arial"/>
                <w:sz w:val="20"/>
              </w:rPr>
            </w:pPr>
            <w:r>
              <w:rPr>
                <w:rFonts w:ascii="Arial" w:hAnsi="Arial" w:cs="Arial"/>
                <w:sz w:val="20"/>
              </w:rPr>
              <w:t xml:space="preserve">Agree with the comment. After discussion, the feature list </w:t>
            </w:r>
            <w:r w:rsidR="00E2022A">
              <w:rPr>
                <w:rFonts w:ascii="Arial" w:hAnsi="Arial" w:cs="Arial"/>
                <w:sz w:val="20"/>
              </w:rPr>
              <w:t>is</w:t>
            </w:r>
            <w:r>
              <w:rPr>
                <w:rFonts w:ascii="Arial" w:hAnsi="Arial" w:cs="Arial"/>
                <w:sz w:val="20"/>
              </w:rPr>
              <w:t xml:space="preserve"> updated.</w:t>
            </w:r>
          </w:p>
          <w:p w:rsidR="00E2022A" w:rsidRDefault="00E2022A" w:rsidP="00C51003">
            <w:pPr>
              <w:rPr>
                <w:rFonts w:ascii="Arial" w:hAnsi="Arial" w:cs="Arial"/>
                <w:sz w:val="20"/>
              </w:rPr>
            </w:pPr>
          </w:p>
          <w:p w:rsidR="00C51003" w:rsidRPr="00C51003" w:rsidRDefault="00C51003" w:rsidP="00C51003">
            <w:pPr>
              <w:rPr>
                <w:rFonts w:ascii="Arial" w:hAnsi="Arial" w:cs="Arial"/>
                <w:b/>
                <w:sz w:val="20"/>
                <w:u w:val="single"/>
              </w:rPr>
            </w:pPr>
            <w:proofErr w:type="spellStart"/>
            <w:r w:rsidRPr="00C51003">
              <w:rPr>
                <w:rFonts w:ascii="Arial" w:hAnsi="Arial" w:cs="Arial"/>
                <w:b/>
                <w:sz w:val="20"/>
                <w:u w:val="single"/>
              </w:rPr>
              <w:t>TGbd</w:t>
            </w:r>
            <w:proofErr w:type="spellEnd"/>
            <w:r w:rsidRPr="00C51003">
              <w:rPr>
                <w:rFonts w:ascii="Arial" w:hAnsi="Arial" w:cs="Arial"/>
                <w:b/>
                <w:sz w:val="20"/>
                <w:u w:val="single"/>
              </w:rPr>
              <w:t xml:space="preserve"> editor:</w:t>
            </w:r>
          </w:p>
          <w:p w:rsidR="00C51003" w:rsidRPr="00641614" w:rsidRDefault="00C51003" w:rsidP="00C51003">
            <w:pPr>
              <w:rPr>
                <w:rFonts w:ascii="Arial" w:hAnsi="Arial" w:cs="Arial"/>
                <w:sz w:val="20"/>
              </w:rPr>
            </w:pPr>
            <w:r>
              <w:rPr>
                <w:rFonts w:ascii="Arial" w:hAnsi="Arial" w:cs="Arial"/>
                <w:sz w:val="20"/>
              </w:rPr>
              <w:t xml:space="preserve">Please incorporate the changes in </w:t>
            </w:r>
            <w:hyperlink r:id="rId9" w:history="1">
              <w:r w:rsidRPr="0087268A">
                <w:rPr>
                  <w:rStyle w:val="Hyperlink"/>
                  <w:rFonts w:ascii="Arial" w:hAnsi="Arial" w:cs="Arial"/>
                  <w:sz w:val="20"/>
                </w:rPr>
                <w:t>https://mentor.ieee.org/802.11/dcn/21/11-21-1722-01-00bd-lb254-comment-resolution-for-11bd-d2-0-clause-4.docx</w:t>
              </w:r>
            </w:hyperlink>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2079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20.37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the word "Annex" for consistence with the same appearance several lines above.   P.3 is a subclause.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C01CEA" w:rsidRDefault="00C01CEA" w:rsidP="00391EBA">
            <w:pPr>
              <w:rPr>
                <w:rFonts w:ascii="Arial" w:hAnsi="Arial" w:cs="Arial"/>
                <w:sz w:val="20"/>
              </w:rPr>
            </w:pPr>
            <w:r>
              <w:rPr>
                <w:rFonts w:ascii="Arial" w:hAnsi="Arial" w:cs="Arial"/>
                <w:sz w:val="20"/>
              </w:rPr>
              <w:t>Revised</w:t>
            </w:r>
          </w:p>
          <w:p w:rsidR="00C01CEA" w:rsidRDefault="00C01CEA" w:rsidP="00391EBA">
            <w:pPr>
              <w:rPr>
                <w:rFonts w:ascii="Arial" w:hAnsi="Arial" w:cs="Arial"/>
                <w:sz w:val="20"/>
              </w:rPr>
            </w:pPr>
          </w:p>
          <w:p w:rsidR="00C01CEA" w:rsidRDefault="00C01CEA" w:rsidP="00391EBA">
            <w:pPr>
              <w:rPr>
                <w:rFonts w:ascii="Arial" w:hAnsi="Arial" w:cs="Arial"/>
                <w:sz w:val="20"/>
              </w:rPr>
            </w:pPr>
            <w:r>
              <w:rPr>
                <w:rFonts w:ascii="Arial" w:hAnsi="Arial" w:cs="Arial"/>
                <w:sz w:val="20"/>
              </w:rPr>
              <w:t>Agree with the comment. In addition, searching for “P.3” yields another reference to Annex P.3, but here the subclause title is missing</w:t>
            </w:r>
          </w:p>
          <w:p w:rsidR="00C01CEA" w:rsidRDefault="00C01CEA" w:rsidP="00391EBA">
            <w:pPr>
              <w:rPr>
                <w:rFonts w:ascii="Arial" w:hAnsi="Arial" w:cs="Arial"/>
                <w:sz w:val="20"/>
              </w:rPr>
            </w:pPr>
          </w:p>
          <w:p w:rsidR="00C01CEA" w:rsidRPr="006277C2" w:rsidRDefault="00C01CEA" w:rsidP="00C01CEA">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C01CEA" w:rsidRPr="00641614" w:rsidRDefault="00C01CEA" w:rsidP="00C01CEA">
            <w:pPr>
              <w:rPr>
                <w:rFonts w:ascii="Arial" w:hAnsi="Arial" w:cs="Arial"/>
                <w:sz w:val="20"/>
              </w:rPr>
            </w:pPr>
            <w:r>
              <w:rPr>
                <w:rFonts w:ascii="Arial" w:hAnsi="Arial" w:cs="Arial"/>
                <w:sz w:val="20"/>
              </w:rPr>
              <w:t>Please remove the word “Annex” on P20L37 and on P59L56 replace “Annex P.3” with “P.3 (</w:t>
            </w:r>
            <w:r w:rsidRPr="00C01CEA">
              <w:rPr>
                <w:rFonts w:ascii="Arial" w:hAnsi="Arial" w:cs="Arial"/>
                <w:sz w:val="20"/>
              </w:rPr>
              <w:t>Differential Distance Computation using Fine Timing Measurement frames</w:t>
            </w:r>
            <w:r>
              <w:rPr>
                <w:rFonts w:ascii="Arial" w:hAnsi="Arial" w:cs="Arial"/>
                <w:sz w:val="20"/>
              </w:rPr>
              <w:t>)</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2055</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Duplicates a statement at 19.27</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paragraph</w:t>
            </w:r>
          </w:p>
        </w:tc>
        <w:tc>
          <w:tcPr>
            <w:tcW w:w="1668" w:type="pct"/>
          </w:tcPr>
          <w:p w:rsidR="00391EBA" w:rsidRDefault="00C01CEA" w:rsidP="00391EBA">
            <w:pPr>
              <w:rPr>
                <w:rFonts w:ascii="Arial" w:hAnsi="Arial" w:cs="Arial"/>
                <w:sz w:val="20"/>
              </w:rPr>
            </w:pPr>
            <w:r>
              <w:rPr>
                <w:rFonts w:ascii="Arial" w:hAnsi="Arial" w:cs="Arial"/>
                <w:sz w:val="20"/>
              </w:rPr>
              <w:t>Accepted</w:t>
            </w:r>
          </w:p>
          <w:p w:rsidR="00C01CEA" w:rsidRPr="00641614" w:rsidRDefault="00C01CEA" w:rsidP="00391EBA">
            <w:pPr>
              <w:rPr>
                <w:rFonts w:ascii="Arial" w:hAnsi="Arial" w:cs="Arial"/>
                <w:sz w:val="20"/>
              </w:rPr>
            </w:pPr>
            <w:r>
              <w:rPr>
                <w:rFonts w:ascii="Arial" w:hAnsi="Arial" w:cs="Arial"/>
                <w:sz w:val="20"/>
              </w:rPr>
              <w:t>Same CID as 2080</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2080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 duplicated paragraph.</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it.</w:t>
            </w:r>
          </w:p>
        </w:tc>
        <w:tc>
          <w:tcPr>
            <w:tcW w:w="1668" w:type="pct"/>
          </w:tcPr>
          <w:p w:rsidR="00391EBA" w:rsidRDefault="00C01CEA" w:rsidP="00391EBA">
            <w:pPr>
              <w:rPr>
                <w:rFonts w:ascii="Arial" w:hAnsi="Arial" w:cs="Arial"/>
                <w:sz w:val="20"/>
              </w:rPr>
            </w:pPr>
            <w:r>
              <w:rPr>
                <w:rFonts w:ascii="Arial" w:hAnsi="Arial" w:cs="Arial"/>
                <w:sz w:val="20"/>
              </w:rPr>
              <w:t>Accepted</w:t>
            </w:r>
          </w:p>
          <w:p w:rsidR="00926385" w:rsidRPr="00641614" w:rsidRDefault="00C01CEA" w:rsidP="00391EBA">
            <w:pPr>
              <w:rPr>
                <w:rFonts w:ascii="Arial" w:hAnsi="Arial" w:cs="Arial"/>
                <w:sz w:val="20"/>
              </w:rPr>
            </w:pPr>
            <w:r>
              <w:rPr>
                <w:rFonts w:ascii="Arial" w:hAnsi="Arial" w:cs="Arial"/>
                <w:sz w:val="20"/>
              </w:rPr>
              <w:t xml:space="preserve">Same CID as </w:t>
            </w:r>
            <w:r w:rsidR="00926385">
              <w:rPr>
                <w:rFonts w:ascii="Arial" w:hAnsi="Arial" w:cs="Arial"/>
                <w:sz w:val="20"/>
              </w:rPr>
              <w:t>2055</w:t>
            </w:r>
          </w:p>
        </w:tc>
      </w:tr>
    </w:tbl>
    <w:p w:rsidR="00CA09B2" w:rsidRDefault="00CA09B2"/>
    <w:p w:rsidR="00C51003" w:rsidRDefault="00C51003"/>
    <w:p w:rsidR="00C51003" w:rsidRDefault="00C51003"/>
    <w:p w:rsidR="00C51003" w:rsidRDefault="00C51003"/>
    <w:p w:rsidR="00C51003" w:rsidRDefault="00C51003"/>
    <w:p w:rsidR="00C51003" w:rsidRDefault="00C51003"/>
    <w:p w:rsidR="00C51003" w:rsidRDefault="00C51003"/>
    <w:p w:rsidR="00E2022A" w:rsidRPr="00E2022A" w:rsidRDefault="00E2022A" w:rsidP="00C51003">
      <w:pPr>
        <w:rPr>
          <w:rFonts w:ascii="Arial" w:hAnsi="Arial" w:cs="Arial"/>
          <w:color w:val="000000" w:themeColor="text1"/>
          <w:sz w:val="20"/>
        </w:rPr>
      </w:pPr>
      <w:r>
        <w:rPr>
          <w:rFonts w:ascii="Arial" w:hAnsi="Arial" w:cs="Arial"/>
          <w:color w:val="000000" w:themeColor="text1"/>
          <w:sz w:val="20"/>
        </w:rPr>
        <w:t>Editorial changes:</w:t>
      </w:r>
    </w:p>
    <w:p w:rsidR="00C51003" w:rsidRPr="00E2022A" w:rsidRDefault="00E2022A" w:rsidP="00C51003">
      <w:pPr>
        <w:rPr>
          <w:rFonts w:ascii="Arial" w:hAnsi="Arial" w:cs="Arial"/>
          <w:color w:val="0070C0"/>
          <w:sz w:val="20"/>
        </w:rPr>
      </w:pPr>
      <w:r w:rsidRPr="00E2022A">
        <w:rPr>
          <w:rFonts w:ascii="Arial" w:hAnsi="Arial" w:cs="Arial"/>
          <w:color w:val="0070C0"/>
          <w:sz w:val="20"/>
        </w:rPr>
        <w:lastRenderedPageBreak/>
        <w:t>add</w:t>
      </w:r>
    </w:p>
    <w:p w:rsidR="00C51003" w:rsidRPr="00E2022A" w:rsidRDefault="00E2022A" w:rsidP="00C51003">
      <w:pPr>
        <w:rPr>
          <w:rFonts w:ascii="Arial" w:hAnsi="Arial" w:cs="Arial"/>
          <w:strike/>
          <w:color w:val="FF0000"/>
          <w:sz w:val="20"/>
        </w:rPr>
      </w:pPr>
      <w:r w:rsidRPr="00E2022A">
        <w:rPr>
          <w:rFonts w:ascii="Arial" w:hAnsi="Arial" w:cs="Arial"/>
          <w:strike/>
          <w:color w:val="FF0000"/>
          <w:sz w:val="20"/>
        </w:rPr>
        <w:t>remove</w:t>
      </w:r>
    </w:p>
    <w:p w:rsidR="00C51003" w:rsidRDefault="00C51003" w:rsidP="00C51003">
      <w:pPr>
        <w:pStyle w:val="Heading1"/>
      </w:pPr>
      <w:r>
        <w:t>Changes with respect to CID 2221 and 2222 only</w:t>
      </w:r>
    </w:p>
    <w:p w:rsidR="00C51003" w:rsidRDefault="00C51003"/>
    <w:p w:rsidR="00C51003" w:rsidRDefault="00C51003">
      <w:pPr>
        <w:rPr>
          <w:rFonts w:ascii="TimesNewRomanPSMT" w:hAnsi="TimesNewRomanPSMT"/>
          <w:color w:val="000000"/>
          <w:sz w:val="20"/>
        </w:rPr>
      </w:pPr>
      <w:r w:rsidRPr="00C51003">
        <w:rPr>
          <w:rFonts w:ascii="TimesNewRomanPSMT" w:hAnsi="TimesNewRomanPSMT"/>
          <w:color w:val="000000"/>
          <w:sz w:val="20"/>
        </w:rPr>
        <w:t>The main PHY features of an NGV STA that are not present in a non-NGV STA are the following:</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10 MHz and 20 MHz PPDU formats with half of the data subcarrier frequency spacing of VHT PHY</w:t>
      </w:r>
      <w:r w:rsidRPr="00C51003">
        <w:rPr>
          <w:rFonts w:ascii="TimesNewRomanPSMT" w:hAnsi="TimesNewRomanPSMT"/>
          <w:color w:val="000000"/>
          <w:sz w:val="20"/>
        </w:rPr>
        <w:br/>
        <w:t>defined in Clause 21 (Very High Throughput (VHT) PHY specification)</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Mandatory support for 10 MHz NGV PPDU</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Mandatory support for LDPC coding</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xml:space="preserve">• Mandatory support for </w:t>
      </w:r>
      <w:proofErr w:type="spellStart"/>
      <w:r w:rsidRPr="00C51003">
        <w:rPr>
          <w:rFonts w:ascii="TimesNewRomanPSMT" w:hAnsi="TimesNewRomanPSMT"/>
          <w:color w:val="000000"/>
          <w:sz w:val="20"/>
        </w:rPr>
        <w:t>Midambles</w:t>
      </w:r>
      <w:proofErr w:type="spellEnd"/>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Mandatory support for BPSK and DCM</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Mandatory support for 256-QAM</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xml:space="preserve">• Mandatory support for class C2 </w:t>
      </w:r>
      <w:proofErr w:type="gramStart"/>
      <w:r w:rsidRPr="00C51003">
        <w:rPr>
          <w:rFonts w:ascii="TimesNewRomanPSMT" w:hAnsi="TimesNewRomanPSMT"/>
          <w:color w:val="000000"/>
          <w:sz w:val="20"/>
        </w:rPr>
        <w:t>transmit</w:t>
      </w:r>
      <w:proofErr w:type="gramEnd"/>
      <w:r w:rsidRPr="00C51003">
        <w:rPr>
          <w:rFonts w:ascii="TimesNewRomanPSMT" w:hAnsi="TimesNewRomanPSMT"/>
          <w:color w:val="000000"/>
          <w:sz w:val="20"/>
        </w:rPr>
        <w:t xml:space="preserve"> spectrum mask for 20 MHz NGV PPDU</w:t>
      </w:r>
    </w:p>
    <w:p w:rsidR="00C51003" w:rsidRDefault="00C51003" w:rsidP="00C51003">
      <w:pPr>
        <w:ind w:left="284" w:firstLine="436"/>
        <w:rPr>
          <w:rFonts w:ascii="TimesNewRomanPSMT" w:hAnsi="TimesNewRomanPSMT"/>
          <w:color w:val="000000"/>
          <w:sz w:val="20"/>
        </w:rPr>
      </w:pPr>
      <w:r w:rsidRPr="00C51003">
        <w:rPr>
          <w:rFonts w:ascii="TimesNewRomanPSMT" w:hAnsi="TimesNewRomanPSMT"/>
          <w:color w:val="000000"/>
          <w:sz w:val="20"/>
        </w:rPr>
        <w:t>• Optional support for 20 MHz NGV PPDU</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Mandatory support for repetitive NON_NGV_10 PPDU</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Mandatory support for coexistence with non-NGV STAs</w:t>
      </w:r>
    </w:p>
    <w:p w:rsidR="00C51003" w:rsidRPr="00C51003" w:rsidRDefault="00C51003" w:rsidP="00C51003">
      <w:pPr>
        <w:ind w:left="284"/>
        <w:rPr>
          <w:rFonts w:ascii="TimesNewRomanPSMT" w:hAnsi="TimesNewRomanPSMT"/>
          <w:color w:val="0070C0"/>
          <w:sz w:val="20"/>
        </w:rPr>
      </w:pPr>
      <w:r w:rsidRPr="00C51003">
        <w:rPr>
          <w:rFonts w:ascii="TimesNewRomanPSMT" w:hAnsi="TimesNewRomanPSMT"/>
          <w:color w:val="0070C0"/>
          <w:sz w:val="20"/>
        </w:rPr>
        <w:t xml:space="preserve">— Mandatory support for class C </w:t>
      </w:r>
      <w:proofErr w:type="gramStart"/>
      <w:r w:rsidRPr="00C51003">
        <w:rPr>
          <w:rFonts w:ascii="TimesNewRomanPSMT" w:hAnsi="TimesNewRomanPSMT"/>
          <w:color w:val="0070C0"/>
          <w:sz w:val="20"/>
        </w:rPr>
        <w:t>transmit</w:t>
      </w:r>
      <w:proofErr w:type="gramEnd"/>
      <w:r w:rsidRPr="00C51003">
        <w:rPr>
          <w:rFonts w:ascii="TimesNewRomanPSMT" w:hAnsi="TimesNewRomanPSMT"/>
          <w:color w:val="0070C0"/>
          <w:sz w:val="20"/>
        </w:rPr>
        <w:t xml:space="preserve"> spectrum mask for 10 MHz NGV PPDU</w:t>
      </w:r>
      <w:r w:rsidR="00E2022A">
        <w:rPr>
          <w:rFonts w:ascii="TimesNewRomanPSMT" w:hAnsi="TimesNewRomanPSMT"/>
          <w:color w:val="0070C0"/>
          <w:sz w:val="20"/>
        </w:rPr>
        <w:t xml:space="preserve"> (#2221)</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Optional support for transmission and reception of single user (SU) MIMO with 2 spatial streams</w:t>
      </w:r>
    </w:p>
    <w:p w:rsidR="00C51003" w:rsidRDefault="00C51003" w:rsidP="00C51003">
      <w:pPr>
        <w:ind w:left="284"/>
        <w:rPr>
          <w:rFonts w:ascii="TimesNewRomanPSMT" w:hAnsi="TimesNewRomanPSMT"/>
          <w:color w:val="000000"/>
          <w:sz w:val="20"/>
        </w:rPr>
      </w:pPr>
    </w:p>
    <w:p w:rsidR="00C51003" w:rsidRDefault="00C51003" w:rsidP="00C51003">
      <w:pPr>
        <w:rPr>
          <w:rFonts w:ascii="TimesNewRomanPSMT" w:hAnsi="TimesNewRomanPSMT"/>
          <w:color w:val="000000"/>
          <w:sz w:val="20"/>
        </w:rPr>
      </w:pPr>
      <w:r w:rsidRPr="00C51003">
        <w:rPr>
          <w:rFonts w:ascii="TimesNewRomanPSMT" w:hAnsi="TimesNewRomanPSMT"/>
          <w:color w:val="000000"/>
          <w:sz w:val="20"/>
        </w:rPr>
        <w:t xml:space="preserve">Additional </w:t>
      </w:r>
      <w:r w:rsidRPr="00E2022A">
        <w:rPr>
          <w:rFonts w:ascii="TimesNewRomanPSMT" w:hAnsi="TimesNewRomanPSMT"/>
          <w:strike/>
          <w:color w:val="FF0000"/>
          <w:sz w:val="20"/>
        </w:rPr>
        <w:t>main</w:t>
      </w:r>
      <w:r w:rsidRPr="00E2022A">
        <w:rPr>
          <w:rFonts w:ascii="TimesNewRomanPSMT" w:hAnsi="TimesNewRomanPSMT"/>
          <w:color w:val="FF0000"/>
          <w:sz w:val="20"/>
        </w:rPr>
        <w:t xml:space="preserve"> </w:t>
      </w:r>
      <w:r w:rsidR="00E2022A" w:rsidRPr="00E2022A">
        <w:rPr>
          <w:rFonts w:ascii="TimesNewRomanPSMT" w:hAnsi="TimesNewRomanPSMT"/>
          <w:color w:val="0070C0"/>
          <w:sz w:val="20"/>
        </w:rPr>
        <w:t xml:space="preserve">NGV STA </w:t>
      </w:r>
      <w:r w:rsidRPr="00C51003">
        <w:rPr>
          <w:rFonts w:ascii="TimesNewRomanPSMT" w:hAnsi="TimesNewRomanPSMT"/>
          <w:color w:val="000000"/>
          <w:sz w:val="20"/>
        </w:rPr>
        <w:t xml:space="preserve">PHY features </w:t>
      </w:r>
      <w:r w:rsidRPr="00E2022A">
        <w:rPr>
          <w:rFonts w:ascii="TimesNewRomanPSMT" w:hAnsi="TimesNewRomanPSMT"/>
          <w:strike/>
          <w:color w:val="FF0000"/>
          <w:sz w:val="20"/>
        </w:rPr>
        <w:t xml:space="preserve">in an NGV STA </w:t>
      </w:r>
      <w:r w:rsidRPr="00C51003">
        <w:rPr>
          <w:rFonts w:ascii="TimesNewRomanPSMT" w:hAnsi="TimesNewRomanPSMT"/>
          <w:color w:val="000000"/>
          <w:sz w:val="20"/>
        </w:rPr>
        <w:t>are</w:t>
      </w:r>
      <w:r w:rsidRPr="00E2022A">
        <w:rPr>
          <w:rFonts w:ascii="TimesNewRomanPSMT" w:hAnsi="TimesNewRomanPSMT"/>
          <w:strike/>
          <w:color w:val="FF0000"/>
          <w:sz w:val="20"/>
        </w:rPr>
        <w:t xml:space="preserve"> the following</w:t>
      </w:r>
      <w:r w:rsidRPr="00C51003">
        <w:rPr>
          <w:rFonts w:ascii="TimesNewRomanPSMT" w:hAnsi="TimesNewRomanPSMT"/>
          <w:color w:val="000000"/>
          <w:sz w:val="20"/>
        </w:rPr>
        <w:t>:</w:t>
      </w:r>
      <w:r w:rsidR="00E2022A">
        <w:rPr>
          <w:rFonts w:ascii="TimesNewRomanPSMT" w:hAnsi="TimesNewRomanPSMT"/>
          <w:color w:val="0070C0"/>
          <w:sz w:val="20"/>
        </w:rPr>
        <w:t xml:space="preserve"> (#2221)</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Mandatory support for single spatial stream</w:t>
      </w:r>
    </w:p>
    <w:p w:rsidR="00C51003" w:rsidRPr="00C51003" w:rsidRDefault="00C51003" w:rsidP="00C51003">
      <w:pPr>
        <w:ind w:left="284"/>
        <w:rPr>
          <w:rFonts w:ascii="TimesNewRomanPSMT" w:hAnsi="TimesNewRomanPSMT"/>
          <w:strike/>
          <w:color w:val="FF0000"/>
          <w:sz w:val="20"/>
        </w:rPr>
      </w:pPr>
      <w:r w:rsidRPr="00C51003">
        <w:rPr>
          <w:rFonts w:ascii="TimesNewRomanPSMT" w:hAnsi="TimesNewRomanPSMT"/>
          <w:strike/>
          <w:color w:val="FF0000"/>
          <w:sz w:val="20"/>
        </w:rPr>
        <w:t xml:space="preserve">— Mandatory support for class C </w:t>
      </w:r>
      <w:proofErr w:type="gramStart"/>
      <w:r w:rsidRPr="00C51003">
        <w:rPr>
          <w:rFonts w:ascii="TimesNewRomanPSMT" w:hAnsi="TimesNewRomanPSMT"/>
          <w:strike/>
          <w:color w:val="FF0000"/>
          <w:sz w:val="20"/>
        </w:rPr>
        <w:t>transmit</w:t>
      </w:r>
      <w:proofErr w:type="gramEnd"/>
      <w:r w:rsidRPr="00C51003">
        <w:rPr>
          <w:rFonts w:ascii="TimesNewRomanPSMT" w:hAnsi="TimesNewRomanPSMT"/>
          <w:strike/>
          <w:color w:val="FF0000"/>
          <w:sz w:val="20"/>
        </w:rPr>
        <w:t xml:space="preserve"> spectrum mask for 10 MHz NGV PPDU</w:t>
      </w:r>
      <w:r w:rsidR="00E2022A">
        <w:rPr>
          <w:rFonts w:ascii="TimesNewRomanPSMT" w:hAnsi="TimesNewRomanPSMT"/>
          <w:strike/>
          <w:color w:val="FF0000"/>
          <w:sz w:val="20"/>
        </w:rPr>
        <w:t xml:space="preserve"> </w:t>
      </w:r>
      <w:bookmarkStart w:id="0" w:name="_GoBack"/>
      <w:bookmarkEnd w:id="0"/>
      <w:r w:rsidR="00E2022A">
        <w:rPr>
          <w:rFonts w:ascii="TimesNewRomanPSMT" w:hAnsi="TimesNewRomanPSMT"/>
          <w:color w:val="0070C0"/>
          <w:sz w:val="20"/>
        </w:rPr>
        <w:t>(#2221)</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Mandatory support for Clause 17 (Orthogonal frequency division multiplexing (OFDM) PHY specification) 10 MHz PPDU</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Optional support for Classes A, B, and D of spectrum mask requirement for 10 MHz bandwidth</w:t>
      </w:r>
    </w:p>
    <w:p w:rsidR="00E2022A" w:rsidRDefault="00E2022A">
      <w:pPr>
        <w:rPr>
          <w:rFonts w:ascii="TimesNewRomanPSMT" w:hAnsi="TimesNewRomanPSMT"/>
          <w:color w:val="000000"/>
          <w:sz w:val="20"/>
        </w:rPr>
      </w:pPr>
    </w:p>
    <w:p w:rsidR="00C51003" w:rsidRDefault="00C51003">
      <w:pPr>
        <w:rPr>
          <w:rFonts w:ascii="TimesNewRomanPSMT" w:hAnsi="TimesNewRomanPSMT"/>
          <w:color w:val="000000"/>
          <w:sz w:val="20"/>
        </w:rPr>
      </w:pPr>
      <w:r w:rsidRPr="00C51003">
        <w:rPr>
          <w:rFonts w:ascii="TimesNewRomanPSMT" w:hAnsi="TimesNewRomanPSMT"/>
          <w:color w:val="000000"/>
          <w:sz w:val="20"/>
        </w:rPr>
        <w:t>The main MAC features of an NGV STA that are not present in a non-NGV STA are the following:</w:t>
      </w:r>
    </w:p>
    <w:p w:rsidR="00C51003" w:rsidRDefault="00C51003" w:rsidP="00C51003">
      <w:pPr>
        <w:ind w:left="284"/>
        <w:rPr>
          <w:rFonts w:ascii="TimesNewRomanPSMT" w:hAnsi="TimesNewRomanPSMT"/>
          <w:color w:val="000000"/>
          <w:sz w:val="20"/>
        </w:rPr>
      </w:pPr>
      <w:r w:rsidRPr="00C51003">
        <w:rPr>
          <w:rFonts w:ascii="TimesNewRomanPSMT" w:hAnsi="TimesNewRomanPSMT"/>
          <w:color w:val="000000"/>
          <w:sz w:val="20"/>
        </w:rPr>
        <w:t>— Mandatory support for same channel coexistence with non-NGV STAs</w:t>
      </w:r>
    </w:p>
    <w:p w:rsidR="00C51003" w:rsidRDefault="00C51003" w:rsidP="00E2022A">
      <w:pPr>
        <w:ind w:left="567" w:hanging="283"/>
        <w:rPr>
          <w:rFonts w:ascii="TimesNewRomanPSMT" w:hAnsi="TimesNewRomanPSMT"/>
          <w:color w:val="000000"/>
          <w:sz w:val="20"/>
        </w:rPr>
      </w:pPr>
      <w:r w:rsidRPr="00C51003">
        <w:rPr>
          <w:rFonts w:ascii="TimesNewRomanPSMT" w:hAnsi="TimesNewRomanPSMT"/>
          <w:color w:val="000000"/>
          <w:sz w:val="20"/>
        </w:rPr>
        <w:t>— Mandatory support for extended MAC service interface to provide higher layers with the ability to</w:t>
      </w:r>
      <w:r>
        <w:rPr>
          <w:rFonts w:ascii="TimesNewRomanPSMT" w:hAnsi="TimesNewRomanPSMT"/>
          <w:color w:val="000000"/>
          <w:sz w:val="20"/>
        </w:rPr>
        <w:t xml:space="preserve"> </w:t>
      </w:r>
      <w:r w:rsidRPr="00C51003">
        <w:rPr>
          <w:rFonts w:ascii="TimesNewRomanPSMT" w:hAnsi="TimesNewRomanPSMT"/>
          <w:color w:val="000000"/>
          <w:sz w:val="20"/>
        </w:rPr>
        <w:t>control NGV transmissions and receive status regarding NGV receptions and the radio environment</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Mandatory support for 20 MHz channel access with 10 MHz primary and 10 MHz secondary channel</w:t>
      </w:r>
      <w:r>
        <w:rPr>
          <w:rFonts w:ascii="TimesNewRomanPSMT" w:hAnsi="TimesNewRomanPSMT"/>
          <w:color w:val="000000"/>
          <w:sz w:val="20"/>
        </w:rPr>
        <w:t xml:space="preserve"> </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Mandatory support for NGV capability indication for non-NGV PPDUs encoded in the Duration/</w:t>
      </w:r>
      <w:proofErr w:type="spellStart"/>
      <w:r w:rsidRPr="00C51003">
        <w:rPr>
          <w:rFonts w:ascii="TimesNewRomanPSMT" w:hAnsi="TimesNewRomanPSMT"/>
          <w:color w:val="000000"/>
          <w:sz w:val="20"/>
        </w:rPr>
        <w:t>IDfield</w:t>
      </w:r>
      <w:proofErr w:type="spellEnd"/>
      <w:r w:rsidRPr="00C51003">
        <w:rPr>
          <w:rFonts w:ascii="TimesNewRomanPSMT" w:hAnsi="TimesNewRomanPSMT"/>
          <w:color w:val="000000"/>
          <w:sz w:val="20"/>
        </w:rPr>
        <w:t xml:space="preserve"> of the MAC header</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Mandatory support for reception of frame aggregation when communicating OCB</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Optional support for transmission of frame aggregation when communicating OCB</w:t>
      </w:r>
    </w:p>
    <w:p w:rsidR="00E2022A" w:rsidRPr="00E2022A" w:rsidRDefault="00E2022A" w:rsidP="00E2022A">
      <w:pPr>
        <w:ind w:left="567" w:hanging="283"/>
        <w:rPr>
          <w:rFonts w:ascii="TimesNewRomanPSMT" w:hAnsi="TimesNewRomanPSMT"/>
          <w:color w:val="0070C0"/>
          <w:sz w:val="20"/>
        </w:rPr>
      </w:pPr>
      <w:r w:rsidRPr="00E2022A">
        <w:rPr>
          <w:rFonts w:ascii="TimesNewRomanPSMT" w:hAnsi="TimesNewRomanPSMT"/>
          <w:color w:val="0070C0"/>
          <w:sz w:val="20"/>
        </w:rPr>
        <w:t>— Optional support for 20 MHz OCB communication</w:t>
      </w:r>
      <w:r>
        <w:rPr>
          <w:rFonts w:ascii="TimesNewRomanPSMT" w:hAnsi="TimesNewRomanPSMT"/>
          <w:color w:val="0070C0"/>
          <w:sz w:val="20"/>
        </w:rPr>
        <w:t xml:space="preserve"> </w:t>
      </w:r>
      <w:r>
        <w:rPr>
          <w:rFonts w:ascii="TimesNewRomanPSMT" w:hAnsi="TimesNewRomanPSMT"/>
          <w:color w:val="0070C0"/>
          <w:sz w:val="20"/>
        </w:rPr>
        <w:t>(#222</w:t>
      </w:r>
      <w:r>
        <w:rPr>
          <w:rFonts w:ascii="TimesNewRomanPSMT" w:hAnsi="TimesNewRomanPSMT"/>
          <w:color w:val="0070C0"/>
          <w:sz w:val="20"/>
        </w:rPr>
        <w:t>2</w:t>
      </w:r>
      <w:r>
        <w:rPr>
          <w:rFonts w:ascii="TimesNewRomanPSMT" w:hAnsi="TimesNewRomanPSMT"/>
          <w:color w:val="0070C0"/>
          <w:sz w:val="20"/>
        </w:rPr>
        <w:t>)</w:t>
      </w:r>
    </w:p>
    <w:p w:rsidR="00E2022A" w:rsidRDefault="00E2022A">
      <w:pPr>
        <w:rPr>
          <w:rFonts w:ascii="TimesNewRomanPSMT" w:hAnsi="TimesNewRomanPSMT"/>
          <w:color w:val="000000"/>
          <w:sz w:val="20"/>
        </w:rPr>
      </w:pPr>
    </w:p>
    <w:p w:rsidR="00C51003" w:rsidRDefault="00C51003">
      <w:pPr>
        <w:rPr>
          <w:rFonts w:ascii="TimesNewRomanPSMT" w:hAnsi="TimesNewRomanPSMT"/>
          <w:color w:val="000000"/>
          <w:sz w:val="20"/>
        </w:rPr>
      </w:pPr>
      <w:r w:rsidRPr="00C51003">
        <w:rPr>
          <w:rFonts w:ascii="TimesNewRomanPSMT" w:hAnsi="TimesNewRomanPSMT"/>
          <w:color w:val="000000"/>
          <w:sz w:val="20"/>
        </w:rPr>
        <w:t xml:space="preserve">Additional </w:t>
      </w:r>
      <w:r w:rsidRPr="00E2022A">
        <w:rPr>
          <w:rFonts w:ascii="TimesNewRomanPSMT" w:hAnsi="TimesNewRomanPSMT"/>
          <w:strike/>
          <w:color w:val="FF0000"/>
          <w:sz w:val="20"/>
        </w:rPr>
        <w:t>main</w:t>
      </w:r>
      <w:r w:rsidRPr="00E2022A">
        <w:rPr>
          <w:rFonts w:ascii="TimesNewRomanPSMT" w:hAnsi="TimesNewRomanPSMT"/>
          <w:color w:val="FF0000"/>
          <w:sz w:val="20"/>
        </w:rPr>
        <w:t xml:space="preserve"> </w:t>
      </w:r>
      <w:r w:rsidR="00E2022A" w:rsidRPr="00E2022A">
        <w:rPr>
          <w:rFonts w:ascii="TimesNewRomanPSMT" w:hAnsi="TimesNewRomanPSMT"/>
          <w:color w:val="0070C0"/>
          <w:sz w:val="20"/>
        </w:rPr>
        <w:t xml:space="preserve">NGV STA </w:t>
      </w:r>
      <w:r w:rsidRPr="00C51003">
        <w:rPr>
          <w:rFonts w:ascii="TimesNewRomanPSMT" w:hAnsi="TimesNewRomanPSMT"/>
          <w:color w:val="000000"/>
          <w:sz w:val="20"/>
        </w:rPr>
        <w:t xml:space="preserve">MAC features </w:t>
      </w:r>
      <w:r w:rsidRPr="00E2022A">
        <w:rPr>
          <w:rFonts w:ascii="TimesNewRomanPSMT" w:hAnsi="TimesNewRomanPSMT"/>
          <w:strike/>
          <w:color w:val="FF0000"/>
          <w:sz w:val="20"/>
        </w:rPr>
        <w:t>in an NGV STA</w:t>
      </w:r>
      <w:r w:rsidRPr="00E2022A">
        <w:rPr>
          <w:rFonts w:ascii="TimesNewRomanPSMT" w:hAnsi="TimesNewRomanPSMT"/>
          <w:color w:val="FF0000"/>
          <w:sz w:val="20"/>
        </w:rPr>
        <w:t xml:space="preserve"> </w:t>
      </w:r>
      <w:r w:rsidRPr="00C51003">
        <w:rPr>
          <w:rFonts w:ascii="TimesNewRomanPSMT" w:hAnsi="TimesNewRomanPSMT"/>
          <w:color w:val="000000"/>
          <w:sz w:val="20"/>
        </w:rPr>
        <w:t>are</w:t>
      </w:r>
      <w:r w:rsidRPr="00E2022A">
        <w:rPr>
          <w:rFonts w:ascii="TimesNewRomanPSMT" w:hAnsi="TimesNewRomanPSMT"/>
          <w:strike/>
          <w:color w:val="FF0000"/>
          <w:sz w:val="20"/>
        </w:rPr>
        <w:t xml:space="preserve"> the following</w:t>
      </w:r>
      <w:r w:rsidRPr="00C51003">
        <w:rPr>
          <w:rFonts w:ascii="TimesNewRomanPSMT" w:hAnsi="TimesNewRomanPSMT"/>
          <w:color w:val="000000"/>
          <w:sz w:val="20"/>
        </w:rPr>
        <w:t>:</w:t>
      </w:r>
      <w:r w:rsidR="00E2022A" w:rsidRPr="00E2022A">
        <w:rPr>
          <w:rFonts w:ascii="TimesNewRomanPSMT" w:hAnsi="TimesNewRomanPSMT"/>
          <w:color w:val="0070C0"/>
          <w:sz w:val="20"/>
        </w:rPr>
        <w:t xml:space="preserve"> </w:t>
      </w:r>
      <w:r w:rsidR="00E2022A">
        <w:rPr>
          <w:rFonts w:ascii="TimesNewRomanPSMT" w:hAnsi="TimesNewRomanPSMT"/>
          <w:color w:val="0070C0"/>
          <w:sz w:val="20"/>
        </w:rPr>
        <w:t>(#222</w:t>
      </w:r>
      <w:r w:rsidR="00E2022A">
        <w:rPr>
          <w:rFonts w:ascii="TimesNewRomanPSMT" w:hAnsi="TimesNewRomanPSMT"/>
          <w:color w:val="0070C0"/>
          <w:sz w:val="20"/>
        </w:rPr>
        <w:t>2</w:t>
      </w:r>
      <w:r w:rsidR="00E2022A">
        <w:rPr>
          <w:rFonts w:ascii="TimesNewRomanPSMT" w:hAnsi="TimesNewRomanPSMT"/>
          <w:color w:val="0070C0"/>
          <w:sz w:val="20"/>
        </w:rPr>
        <w:t>)</w:t>
      </w:r>
    </w:p>
    <w:p w:rsidR="00C51003" w:rsidRDefault="00C51003" w:rsidP="00C51003">
      <w:pPr>
        <w:ind w:left="567" w:hanging="283"/>
        <w:rPr>
          <w:rFonts w:ascii="TimesNewRomanPSMT" w:hAnsi="TimesNewRomanPSMT"/>
          <w:color w:val="000000"/>
          <w:sz w:val="20"/>
        </w:rPr>
      </w:pPr>
      <w:r w:rsidRPr="00C51003">
        <w:rPr>
          <w:rFonts w:ascii="TimesNewRomanPSMT" w:hAnsi="TimesNewRomanPSMT"/>
          <w:color w:val="000000"/>
          <w:sz w:val="20"/>
        </w:rPr>
        <w:t>— Mandatory support for 10 MHz OCB communication</w:t>
      </w:r>
    </w:p>
    <w:p w:rsidR="00C51003" w:rsidRPr="00E2022A" w:rsidRDefault="00C51003" w:rsidP="00C51003">
      <w:pPr>
        <w:ind w:left="567" w:hanging="283"/>
        <w:rPr>
          <w:rFonts w:ascii="TimesNewRomanPSMT" w:hAnsi="TimesNewRomanPSMT"/>
          <w:strike/>
          <w:color w:val="FF0000"/>
          <w:sz w:val="20"/>
        </w:rPr>
      </w:pPr>
      <w:r w:rsidRPr="00E2022A">
        <w:rPr>
          <w:rFonts w:ascii="TimesNewRomanPSMT" w:hAnsi="TimesNewRomanPSMT"/>
          <w:strike/>
          <w:color w:val="FF0000"/>
          <w:sz w:val="20"/>
        </w:rPr>
        <w:t>— Optional support for 20 MHz OCB communication</w:t>
      </w:r>
      <w:r w:rsidR="00E2022A">
        <w:rPr>
          <w:rFonts w:ascii="TimesNewRomanPSMT" w:hAnsi="TimesNewRomanPSMT"/>
          <w:strike/>
          <w:color w:val="FF0000"/>
          <w:sz w:val="20"/>
        </w:rPr>
        <w:t xml:space="preserve"> </w:t>
      </w:r>
      <w:r w:rsidR="00E2022A">
        <w:rPr>
          <w:rFonts w:ascii="TimesNewRomanPSMT" w:hAnsi="TimesNewRomanPSMT"/>
          <w:color w:val="0070C0"/>
          <w:sz w:val="20"/>
        </w:rPr>
        <w:t>(#222</w:t>
      </w:r>
      <w:r w:rsidR="00E2022A">
        <w:rPr>
          <w:rFonts w:ascii="TimesNewRomanPSMT" w:hAnsi="TimesNewRomanPSMT"/>
          <w:color w:val="0070C0"/>
          <w:sz w:val="20"/>
        </w:rPr>
        <w:t>2</w:t>
      </w:r>
      <w:r w:rsidR="00E2022A">
        <w:rPr>
          <w:rFonts w:ascii="TimesNewRomanPSMT" w:hAnsi="TimesNewRomanPSMT"/>
          <w:color w:val="0070C0"/>
          <w:sz w:val="20"/>
        </w:rPr>
        <w:t>)</w:t>
      </w:r>
    </w:p>
    <w:sectPr w:rsidR="00C51003" w:rsidRPr="00E2022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853" w:rsidRDefault="00C90853">
      <w:r>
        <w:separator/>
      </w:r>
    </w:p>
  </w:endnote>
  <w:endnote w:type="continuationSeparator" w:id="0">
    <w:p w:rsidR="00C90853" w:rsidRDefault="00C9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846C1">
    <w:pPr>
      <w:pStyle w:val="Footer"/>
      <w:tabs>
        <w:tab w:val="clear" w:pos="6480"/>
        <w:tab w:val="center" w:pos="4680"/>
        <w:tab w:val="right" w:pos="9360"/>
      </w:tabs>
    </w:pPr>
    <w:fldSimple w:instr=" SUBJECT  \* MERGEFORMAT ">
      <w:r w:rsidR="00CC45D6">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CC45D6">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853" w:rsidRDefault="00C90853">
      <w:r>
        <w:separator/>
      </w:r>
    </w:p>
  </w:footnote>
  <w:footnote w:type="continuationSeparator" w:id="0">
    <w:p w:rsidR="00C90853" w:rsidRDefault="00C9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1846C1">
    <w:pPr>
      <w:pStyle w:val="Header"/>
      <w:tabs>
        <w:tab w:val="clear" w:pos="6480"/>
        <w:tab w:val="center" w:pos="4680"/>
        <w:tab w:val="right" w:pos="9360"/>
      </w:tabs>
    </w:pPr>
    <w:fldSimple w:instr=" KEYWORDS  \* MERGEFORMAT ">
      <w:r w:rsidR="00380594">
        <w:t>November 2021</w:t>
      </w:r>
    </w:fldSimple>
    <w:r w:rsidR="005921A2">
      <w:tab/>
    </w:r>
    <w:r w:rsidR="005921A2">
      <w:tab/>
    </w:r>
    <w:fldSimple w:instr=" TITLE  \* MERGEFORMAT ">
      <w:r w:rsidR="00380594">
        <w:t>doc.: IEEE 802.11-21/1722r1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FE2"/>
    <w:rsid w:val="00025B6A"/>
    <w:rsid w:val="000345DC"/>
    <w:rsid w:val="00036050"/>
    <w:rsid w:val="000570EB"/>
    <w:rsid w:val="00094B80"/>
    <w:rsid w:val="000A1F6D"/>
    <w:rsid w:val="000A2771"/>
    <w:rsid w:val="000C13BF"/>
    <w:rsid w:val="000D1CB8"/>
    <w:rsid w:val="000D3551"/>
    <w:rsid w:val="00111091"/>
    <w:rsid w:val="00114AE4"/>
    <w:rsid w:val="0012018C"/>
    <w:rsid w:val="001324E6"/>
    <w:rsid w:val="00136617"/>
    <w:rsid w:val="00142B92"/>
    <w:rsid w:val="001500AD"/>
    <w:rsid w:val="00152196"/>
    <w:rsid w:val="00162F52"/>
    <w:rsid w:val="00174D8F"/>
    <w:rsid w:val="00175C56"/>
    <w:rsid w:val="0017782B"/>
    <w:rsid w:val="001846C1"/>
    <w:rsid w:val="0019409A"/>
    <w:rsid w:val="001A7AC1"/>
    <w:rsid w:val="001B055D"/>
    <w:rsid w:val="001C76CC"/>
    <w:rsid w:val="001D723B"/>
    <w:rsid w:val="001D7CE6"/>
    <w:rsid w:val="001F3109"/>
    <w:rsid w:val="00221721"/>
    <w:rsid w:val="00223AFB"/>
    <w:rsid w:val="00225114"/>
    <w:rsid w:val="00253CA7"/>
    <w:rsid w:val="00271598"/>
    <w:rsid w:val="002870C5"/>
    <w:rsid w:val="0029020B"/>
    <w:rsid w:val="002960DE"/>
    <w:rsid w:val="002A7BFE"/>
    <w:rsid w:val="002B0CE6"/>
    <w:rsid w:val="002C505D"/>
    <w:rsid w:val="002C78D6"/>
    <w:rsid w:val="002D44BE"/>
    <w:rsid w:val="002F7887"/>
    <w:rsid w:val="00302D5A"/>
    <w:rsid w:val="00324432"/>
    <w:rsid w:val="00337E4E"/>
    <w:rsid w:val="003468D4"/>
    <w:rsid w:val="003574E5"/>
    <w:rsid w:val="00364087"/>
    <w:rsid w:val="00367C70"/>
    <w:rsid w:val="00380594"/>
    <w:rsid w:val="00390F41"/>
    <w:rsid w:val="00391EBA"/>
    <w:rsid w:val="003A2DA7"/>
    <w:rsid w:val="003A7996"/>
    <w:rsid w:val="003A7B3A"/>
    <w:rsid w:val="003B3A77"/>
    <w:rsid w:val="003C3619"/>
    <w:rsid w:val="003C6038"/>
    <w:rsid w:val="003D139E"/>
    <w:rsid w:val="003D2761"/>
    <w:rsid w:val="003F0DC4"/>
    <w:rsid w:val="003F10DE"/>
    <w:rsid w:val="004049EF"/>
    <w:rsid w:val="00406EDB"/>
    <w:rsid w:val="0042189B"/>
    <w:rsid w:val="00426730"/>
    <w:rsid w:val="00442037"/>
    <w:rsid w:val="00460F97"/>
    <w:rsid w:val="00462648"/>
    <w:rsid w:val="00480B6B"/>
    <w:rsid w:val="00483C22"/>
    <w:rsid w:val="00492095"/>
    <w:rsid w:val="00492505"/>
    <w:rsid w:val="004960FC"/>
    <w:rsid w:val="00497A24"/>
    <w:rsid w:val="004B064B"/>
    <w:rsid w:val="004C7776"/>
    <w:rsid w:val="004D01BA"/>
    <w:rsid w:val="004D5D8A"/>
    <w:rsid w:val="005079A8"/>
    <w:rsid w:val="005226EA"/>
    <w:rsid w:val="00542F03"/>
    <w:rsid w:val="0055508F"/>
    <w:rsid w:val="0057660E"/>
    <w:rsid w:val="005802F8"/>
    <w:rsid w:val="005921A2"/>
    <w:rsid w:val="005D1B78"/>
    <w:rsid w:val="0060400C"/>
    <w:rsid w:val="006164F6"/>
    <w:rsid w:val="00620941"/>
    <w:rsid w:val="0062440B"/>
    <w:rsid w:val="0062779D"/>
    <w:rsid w:val="006277C2"/>
    <w:rsid w:val="006310AB"/>
    <w:rsid w:val="00641614"/>
    <w:rsid w:val="00642252"/>
    <w:rsid w:val="00643771"/>
    <w:rsid w:val="0064434B"/>
    <w:rsid w:val="00646FF6"/>
    <w:rsid w:val="00652741"/>
    <w:rsid w:val="0066243A"/>
    <w:rsid w:val="006A3CF4"/>
    <w:rsid w:val="006B6CAF"/>
    <w:rsid w:val="006C0727"/>
    <w:rsid w:val="006E145F"/>
    <w:rsid w:val="007227E8"/>
    <w:rsid w:val="0072329C"/>
    <w:rsid w:val="00740263"/>
    <w:rsid w:val="00745A72"/>
    <w:rsid w:val="00751267"/>
    <w:rsid w:val="00753457"/>
    <w:rsid w:val="007640C8"/>
    <w:rsid w:val="00770572"/>
    <w:rsid w:val="007708D0"/>
    <w:rsid w:val="00776FC6"/>
    <w:rsid w:val="007903C7"/>
    <w:rsid w:val="00797CA3"/>
    <w:rsid w:val="007C3070"/>
    <w:rsid w:val="007E1E78"/>
    <w:rsid w:val="007E35BB"/>
    <w:rsid w:val="007E4B54"/>
    <w:rsid w:val="007F07F3"/>
    <w:rsid w:val="008044B3"/>
    <w:rsid w:val="00806425"/>
    <w:rsid w:val="00832D07"/>
    <w:rsid w:val="00847C90"/>
    <w:rsid w:val="00855248"/>
    <w:rsid w:val="00871F00"/>
    <w:rsid w:val="00890282"/>
    <w:rsid w:val="00891A80"/>
    <w:rsid w:val="0089253C"/>
    <w:rsid w:val="00895609"/>
    <w:rsid w:val="008A71B0"/>
    <w:rsid w:val="008B4432"/>
    <w:rsid w:val="008C1FF5"/>
    <w:rsid w:val="008F05A3"/>
    <w:rsid w:val="009052FF"/>
    <w:rsid w:val="00912F07"/>
    <w:rsid w:val="009226C0"/>
    <w:rsid w:val="009227DF"/>
    <w:rsid w:val="00926385"/>
    <w:rsid w:val="009447CE"/>
    <w:rsid w:val="009504FE"/>
    <w:rsid w:val="009532F1"/>
    <w:rsid w:val="009703E3"/>
    <w:rsid w:val="00974449"/>
    <w:rsid w:val="00981CC8"/>
    <w:rsid w:val="00985954"/>
    <w:rsid w:val="00990D64"/>
    <w:rsid w:val="009A4FB1"/>
    <w:rsid w:val="009E2318"/>
    <w:rsid w:val="009F2FBC"/>
    <w:rsid w:val="009F5957"/>
    <w:rsid w:val="009F76F1"/>
    <w:rsid w:val="00A4002B"/>
    <w:rsid w:val="00A453BD"/>
    <w:rsid w:val="00A704DC"/>
    <w:rsid w:val="00A87326"/>
    <w:rsid w:val="00A93D81"/>
    <w:rsid w:val="00AA427C"/>
    <w:rsid w:val="00AB02BD"/>
    <w:rsid w:val="00AB25D4"/>
    <w:rsid w:val="00B2143B"/>
    <w:rsid w:val="00B2231C"/>
    <w:rsid w:val="00B476A3"/>
    <w:rsid w:val="00B50E5C"/>
    <w:rsid w:val="00B617FE"/>
    <w:rsid w:val="00B64B87"/>
    <w:rsid w:val="00B6679A"/>
    <w:rsid w:val="00B725B8"/>
    <w:rsid w:val="00B756FA"/>
    <w:rsid w:val="00B760D3"/>
    <w:rsid w:val="00B85CD2"/>
    <w:rsid w:val="00B86981"/>
    <w:rsid w:val="00B87559"/>
    <w:rsid w:val="00B97CC9"/>
    <w:rsid w:val="00BB5831"/>
    <w:rsid w:val="00BC2F23"/>
    <w:rsid w:val="00BC46CF"/>
    <w:rsid w:val="00BC6DA2"/>
    <w:rsid w:val="00BC7B79"/>
    <w:rsid w:val="00BD52CD"/>
    <w:rsid w:val="00BE3B6B"/>
    <w:rsid w:val="00BE68C2"/>
    <w:rsid w:val="00C01CEA"/>
    <w:rsid w:val="00C179CF"/>
    <w:rsid w:val="00C344FC"/>
    <w:rsid w:val="00C36AC3"/>
    <w:rsid w:val="00C51003"/>
    <w:rsid w:val="00C5206F"/>
    <w:rsid w:val="00C56ED3"/>
    <w:rsid w:val="00C61645"/>
    <w:rsid w:val="00C64928"/>
    <w:rsid w:val="00C90853"/>
    <w:rsid w:val="00CA09B2"/>
    <w:rsid w:val="00CA1475"/>
    <w:rsid w:val="00CA2277"/>
    <w:rsid w:val="00CA4B1E"/>
    <w:rsid w:val="00CA6EB6"/>
    <w:rsid w:val="00CB0FF1"/>
    <w:rsid w:val="00CC45D6"/>
    <w:rsid w:val="00CD1F4B"/>
    <w:rsid w:val="00CD7BF8"/>
    <w:rsid w:val="00CF5F3C"/>
    <w:rsid w:val="00D01B65"/>
    <w:rsid w:val="00D1020F"/>
    <w:rsid w:val="00D1461F"/>
    <w:rsid w:val="00D21086"/>
    <w:rsid w:val="00D22211"/>
    <w:rsid w:val="00D53DD7"/>
    <w:rsid w:val="00D65EA7"/>
    <w:rsid w:val="00D66E6B"/>
    <w:rsid w:val="00D9634E"/>
    <w:rsid w:val="00DA0FAC"/>
    <w:rsid w:val="00DA4975"/>
    <w:rsid w:val="00DC5A7B"/>
    <w:rsid w:val="00DD61B1"/>
    <w:rsid w:val="00DD71D9"/>
    <w:rsid w:val="00E10DB8"/>
    <w:rsid w:val="00E11B39"/>
    <w:rsid w:val="00E2022A"/>
    <w:rsid w:val="00E22599"/>
    <w:rsid w:val="00E26C6D"/>
    <w:rsid w:val="00E356D3"/>
    <w:rsid w:val="00E44E11"/>
    <w:rsid w:val="00E457DA"/>
    <w:rsid w:val="00E5034B"/>
    <w:rsid w:val="00E675DC"/>
    <w:rsid w:val="00E76F61"/>
    <w:rsid w:val="00E87189"/>
    <w:rsid w:val="00E87A08"/>
    <w:rsid w:val="00E87F5A"/>
    <w:rsid w:val="00E95033"/>
    <w:rsid w:val="00EB03EC"/>
    <w:rsid w:val="00EE117C"/>
    <w:rsid w:val="00EE1844"/>
    <w:rsid w:val="00F00B95"/>
    <w:rsid w:val="00F31F32"/>
    <w:rsid w:val="00F57FD7"/>
    <w:rsid w:val="00F829EA"/>
    <w:rsid w:val="00F86C6B"/>
    <w:rsid w:val="00F968C6"/>
    <w:rsid w:val="00FA1B0E"/>
    <w:rsid w:val="00FF0608"/>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7279E"/>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table" w:styleId="TableGrid">
    <w:name w:val="Table Grid"/>
    <w:basedOn w:val="TableNormal"/>
    <w:rsid w:val="0015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722-01-00bd-lb254-comment-resolution-for-11bd-d2-0-clause-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722-01-00bd-lb254-comment-resolution-for-11bd-d2-0-clause-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49B3-7725-415F-AAC5-0F79C6A1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802.11-21/1722r1</vt:lpstr>
    </vt:vector>
  </TitlesOfParts>
  <Company>Some Company</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802.11-21/1722r1</dc:title>
  <dc:subject>Submission</dc:subject>
  <dc:creator>Sand, Stephan</dc:creator>
  <cp:keywords>November 2021</cp:keywords>
  <dc:description>Stephan Sand, DLR</dc:description>
  <cp:lastModifiedBy>Sand, Stephan</cp:lastModifiedBy>
  <cp:revision>3</cp:revision>
  <cp:lastPrinted>1899-12-31T23:00:00Z</cp:lastPrinted>
  <dcterms:created xsi:type="dcterms:W3CDTF">2021-11-02T11:47:00Z</dcterms:created>
  <dcterms:modified xsi:type="dcterms:W3CDTF">2021-11-02T12:21:00Z</dcterms:modified>
</cp:coreProperties>
</file>