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29B7D6EB"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B3722B">
              <w:rPr>
                <w:b w:val="0"/>
                <w:sz w:val="24"/>
                <w:szCs w:val="24"/>
              </w:rPr>
              <w:t>25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2D4713"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sidRPr="00AD7E1A">
        <w:rPr>
          <w:rFonts w:ascii="Times New Roman" w:hAnsi="Times New Roman"/>
          <w:b w:val="0"/>
          <w:i w:val="0"/>
          <w:sz w:val="24"/>
          <w:szCs w:val="24"/>
          <w:highlight w:val="green"/>
        </w:rPr>
        <w:t>403</w:t>
      </w:r>
      <w:r w:rsidR="00BE44D0" w:rsidRPr="00AD7E1A">
        <w:rPr>
          <w:rFonts w:ascii="Times New Roman" w:hAnsi="Times New Roman"/>
          <w:b w:val="0"/>
          <w:i w:val="0"/>
          <w:sz w:val="24"/>
          <w:szCs w:val="24"/>
          <w:highlight w:val="green"/>
        </w:rPr>
        <w:t>, 161</w:t>
      </w:r>
      <w:r w:rsidR="007E7CB4" w:rsidRPr="00AD7E1A">
        <w:rPr>
          <w:rFonts w:ascii="Times New Roman" w:hAnsi="Times New Roman"/>
          <w:b w:val="0"/>
          <w:i w:val="0"/>
          <w:sz w:val="24"/>
          <w:szCs w:val="24"/>
          <w:highlight w:val="green"/>
        </w:rPr>
        <w:t xml:space="preserve">, </w:t>
      </w:r>
      <w:r w:rsidR="000E15FF" w:rsidRPr="00AD7E1A">
        <w:rPr>
          <w:rFonts w:ascii="Times New Roman" w:hAnsi="Times New Roman"/>
          <w:b w:val="0"/>
          <w:i w:val="0"/>
          <w:sz w:val="24"/>
          <w:szCs w:val="24"/>
          <w:highlight w:val="green"/>
        </w:rPr>
        <w:t xml:space="preserve">404, </w:t>
      </w:r>
      <w:r w:rsidR="007E7CB4" w:rsidRPr="00AD7E1A">
        <w:rPr>
          <w:rFonts w:ascii="Times New Roman" w:hAnsi="Times New Roman"/>
          <w:b w:val="0"/>
          <w:i w:val="0"/>
          <w:sz w:val="24"/>
          <w:szCs w:val="24"/>
          <w:highlight w:val="green"/>
        </w:rPr>
        <w:t>233</w:t>
      </w:r>
      <w:r w:rsidR="00317462" w:rsidRPr="00AD7E1A">
        <w:rPr>
          <w:rFonts w:ascii="Times New Roman" w:hAnsi="Times New Roman"/>
          <w:b w:val="0"/>
          <w:i w:val="0"/>
          <w:sz w:val="24"/>
          <w:szCs w:val="24"/>
          <w:highlight w:val="green"/>
        </w:rPr>
        <w:t>,</w:t>
      </w:r>
      <w:r w:rsidR="00317462">
        <w:rPr>
          <w:rFonts w:ascii="Times New Roman" w:hAnsi="Times New Roman"/>
          <w:b w:val="0"/>
          <w:i w:val="0"/>
          <w:sz w:val="24"/>
          <w:szCs w:val="24"/>
        </w:rPr>
        <w:t xml:space="preserve"> 333</w:t>
      </w:r>
      <w:r w:rsidR="002B0EE8">
        <w:rPr>
          <w:rFonts w:ascii="Times New Roman" w:hAnsi="Times New Roman"/>
          <w:b w:val="0"/>
          <w:i w:val="0"/>
          <w:sz w:val="24"/>
          <w:szCs w:val="24"/>
        </w:rPr>
        <w:t>, 256</w:t>
      </w:r>
      <w:r w:rsidR="00142DC5">
        <w:rPr>
          <w:rFonts w:ascii="Times New Roman" w:hAnsi="Times New Roman"/>
          <w:b w:val="0"/>
          <w:i w:val="0"/>
          <w:sz w:val="24"/>
          <w:szCs w:val="24"/>
        </w:rPr>
        <w:t>, 385</w:t>
      </w:r>
      <w:r w:rsidR="00CF505F">
        <w:rPr>
          <w:rFonts w:ascii="Times New Roman" w:hAnsi="Times New Roman"/>
          <w:b w:val="0"/>
          <w:i w:val="0"/>
          <w:sz w:val="24"/>
          <w:szCs w:val="24"/>
        </w:rPr>
        <w:t>, 278</w:t>
      </w:r>
      <w:r w:rsidR="00E07E51">
        <w:rPr>
          <w:rFonts w:ascii="Times New Roman" w:hAnsi="Times New Roman"/>
          <w:b w:val="0"/>
          <w:i w:val="0"/>
          <w:sz w:val="24"/>
          <w:szCs w:val="24"/>
        </w:rPr>
        <w:t>, 479</w:t>
      </w:r>
      <w:r w:rsidR="00453A91">
        <w:rPr>
          <w:rFonts w:ascii="Times New Roman" w:hAnsi="Times New Roman"/>
          <w:b w:val="0"/>
          <w:i w:val="0"/>
          <w:sz w:val="24"/>
          <w:szCs w:val="24"/>
        </w:rPr>
        <w:t>, 515</w:t>
      </w:r>
      <w:r w:rsidR="00284E54">
        <w:rPr>
          <w:rFonts w:ascii="Times New Roman" w:hAnsi="Times New Roman"/>
          <w:b w:val="0"/>
          <w:i w:val="0"/>
          <w:sz w:val="24"/>
          <w:szCs w:val="24"/>
        </w:rPr>
        <w:t>, 525</w:t>
      </w:r>
      <w:r w:rsidR="00547CA4">
        <w:rPr>
          <w:rFonts w:ascii="Times New Roman" w:hAnsi="Times New Roman"/>
          <w:b w:val="0"/>
          <w:i w:val="0"/>
          <w:sz w:val="24"/>
          <w:szCs w:val="24"/>
        </w:rPr>
        <w:t>, 145</w:t>
      </w:r>
      <w:r w:rsidR="006865B8">
        <w:rPr>
          <w:rFonts w:ascii="Times New Roman" w:hAnsi="Times New Roman"/>
          <w:b w:val="0"/>
          <w:i w:val="0"/>
          <w:sz w:val="24"/>
          <w:szCs w:val="24"/>
        </w:rPr>
        <w:t>, 442</w:t>
      </w:r>
      <w:r w:rsidR="001B68DE">
        <w:rPr>
          <w:rFonts w:ascii="Times New Roman" w:hAnsi="Times New Roman"/>
          <w:b w:val="0"/>
          <w:i w:val="0"/>
          <w:sz w:val="24"/>
          <w:szCs w:val="24"/>
        </w:rPr>
        <w:t>, 407</w:t>
      </w:r>
      <w:r w:rsidR="00965EC6">
        <w:rPr>
          <w:rFonts w:ascii="Times New Roman" w:hAnsi="Times New Roman"/>
          <w:b w:val="0"/>
          <w:i w:val="0"/>
          <w:sz w:val="24"/>
          <w:szCs w:val="24"/>
        </w:rPr>
        <w:t>, 209</w:t>
      </w:r>
      <w:r w:rsidR="005C2AD4">
        <w:rPr>
          <w:rFonts w:ascii="Times New Roman" w:hAnsi="Times New Roman"/>
          <w:b w:val="0"/>
          <w:i w:val="0"/>
          <w:sz w:val="24"/>
          <w:szCs w:val="24"/>
        </w:rPr>
        <w:t>, 207</w:t>
      </w:r>
      <w:r w:rsidR="00FB33E0">
        <w:rPr>
          <w:rFonts w:ascii="Times New Roman" w:hAnsi="Times New Roman"/>
          <w:b w:val="0"/>
          <w:i w:val="0"/>
          <w:sz w:val="24"/>
          <w:szCs w:val="24"/>
        </w:rPr>
        <w:t>, 577</w:t>
      </w:r>
      <w:r w:rsidR="00EC5065">
        <w:rPr>
          <w:rFonts w:ascii="Times New Roman" w:hAnsi="Times New Roman"/>
          <w:b w:val="0"/>
          <w:i w:val="0"/>
          <w:sz w:val="24"/>
          <w:szCs w:val="24"/>
        </w:rPr>
        <w:t>, 38</w:t>
      </w:r>
      <w:r w:rsidR="00D76A45">
        <w:rPr>
          <w:rFonts w:ascii="Times New Roman" w:hAnsi="Times New Roman"/>
          <w:b w:val="0"/>
          <w:i w:val="0"/>
          <w:sz w:val="24"/>
          <w:szCs w:val="24"/>
        </w:rPr>
        <w:t>,</w:t>
      </w:r>
      <w:r w:rsidR="00AE248C">
        <w:rPr>
          <w:rFonts w:ascii="Times New Roman" w:hAnsi="Times New Roman"/>
          <w:b w:val="0"/>
          <w:i w:val="0"/>
          <w:sz w:val="24"/>
          <w:szCs w:val="24"/>
        </w:rPr>
        <w:t xml:space="preserve"> 216,</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Pr="0078794A" w:rsidRDefault="008218AB" w:rsidP="00A60541">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R0 – initial version</w:t>
      </w:r>
    </w:p>
    <w:p w14:paraId="33BD6851" w14:textId="3B4EBEFD" w:rsidR="0078794A" w:rsidRPr="0078794A" w:rsidRDefault="0078794A" w:rsidP="0078794A">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R1 – updated proposed resolution of a few CIDs based on offline comments</w:t>
      </w:r>
    </w:p>
    <w:p w14:paraId="6282499C" w14:textId="65E254D9" w:rsidR="0078794A" w:rsidRPr="0078794A" w:rsidRDefault="0078794A" w:rsidP="0078794A">
      <w:pPr>
        <w:rPr>
          <w:szCs w:val="22"/>
        </w:rPr>
      </w:pPr>
      <w:r w:rsidRPr="0078794A">
        <w:rPr>
          <w:szCs w:val="22"/>
        </w:rPr>
        <w:t>R2 – updated proposed resolution of a few CIDs based on the comments received during the October 22</w:t>
      </w:r>
      <w:r w:rsidRPr="0078794A">
        <w:rPr>
          <w:szCs w:val="22"/>
          <w:vertAlign w:val="superscript"/>
        </w:rPr>
        <w:t>nd</w:t>
      </w:r>
      <w:r w:rsidRPr="0078794A">
        <w:rPr>
          <w:szCs w:val="22"/>
        </w:rPr>
        <w:t xml:space="preserve"> call.</w:t>
      </w:r>
    </w:p>
    <w:p w14:paraId="527850FD" w14:textId="4ADC49DC" w:rsidR="004B62A7" w:rsidRPr="0078794A" w:rsidRDefault="004B62A7" w:rsidP="004B62A7">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3</w:t>
      </w:r>
      <w:r w:rsidRPr="0078794A">
        <w:rPr>
          <w:rFonts w:ascii="Times New Roman" w:hAnsi="Times New Roman"/>
          <w:b w:val="0"/>
          <w:i w:val="0"/>
          <w:sz w:val="22"/>
          <w:szCs w:val="22"/>
        </w:rPr>
        <w:t xml:space="preserve"> – updated proposed resolution of a few CIDs based on offline comments</w:t>
      </w:r>
    </w:p>
    <w:p w14:paraId="4911C633" w14:textId="331E526F" w:rsidR="00B3722B" w:rsidRPr="0078794A" w:rsidRDefault="00B3722B" w:rsidP="00B3722B">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4</w:t>
      </w:r>
      <w:r w:rsidRPr="0078794A">
        <w:rPr>
          <w:rFonts w:ascii="Times New Roman" w:hAnsi="Times New Roman"/>
          <w:b w:val="0"/>
          <w:i w:val="0"/>
          <w:sz w:val="22"/>
          <w:szCs w:val="22"/>
        </w:rPr>
        <w:t xml:space="preserve"> – updated proposed resolution of a few CIDs based on offline comments</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“QoS Traffic Capability Bitmasks/Flags definition” to “Definit</w:t>
      </w:r>
      <w:r w:rsidR="00161DCA">
        <w:rPr>
          <w:sz w:val="24"/>
          <w:szCs w:val="24"/>
        </w:rPr>
        <w:t>i</w:t>
      </w:r>
      <w:r>
        <w:rPr>
          <w:sz w:val="24"/>
          <w:szCs w:val="24"/>
        </w:rPr>
        <w:t>on of the QoS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At 423.57 (D0.3), change “… the QoS Traffic Capability flags …” with “… the QoS traffic capability flags …”.</w:t>
      </w:r>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At 620.47 (D0.3), change “… the QoS Traffic Capability flags …” with “… the QoS traffic capability flags …”.</w:t>
      </w:r>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At 621.31 (D0.3), change “… the QoS Traffic Capability flags …” with “… the QoS traffic capability flags …”.</w:t>
      </w:r>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At 1401.1 (D0.3), change “Bits 4-6 serve as QoS Traffic Capability Flags.” With “Bits 4-6 serve as QoS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F40773">
        <w:rPr>
          <w:b/>
          <w:i/>
          <w:sz w:val="24"/>
          <w:szCs w:val="24"/>
          <w:highlight w:val="green"/>
        </w:rPr>
        <w:t>Proposed resolution for CID</w:t>
      </w:r>
      <w:r w:rsidR="00ED7D98" w:rsidRPr="00F40773">
        <w:rPr>
          <w:b/>
          <w:i/>
          <w:sz w:val="24"/>
          <w:szCs w:val="24"/>
          <w:highlight w:val="green"/>
        </w:rPr>
        <w:t xml:space="preserve"> 403</w:t>
      </w:r>
      <w:r w:rsidRPr="00F40773">
        <w:rPr>
          <w:b/>
          <w:i/>
          <w:sz w:val="24"/>
          <w:szCs w:val="24"/>
          <w:highlight w:val="green"/>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4B4405D4" w:rsidR="009916D1" w:rsidRPr="00016177" w:rsidRDefault="00F96C95" w:rsidP="009916D1">
      <w:pPr>
        <w:spacing w:after="240"/>
        <w:jc w:val="both"/>
        <w:rPr>
          <w:b/>
          <w:i/>
          <w:sz w:val="24"/>
          <w:szCs w:val="24"/>
        </w:rPr>
      </w:pPr>
      <w:r>
        <w:rPr>
          <w:b/>
          <w:i/>
          <w:sz w:val="24"/>
          <w:szCs w:val="24"/>
        </w:rPr>
        <w:t>Proposed changes</w:t>
      </w:r>
      <w:r w:rsidR="009916D1">
        <w:rPr>
          <w:b/>
          <w:i/>
          <w:sz w:val="24"/>
          <w:szCs w:val="24"/>
        </w:rPr>
        <w:t>:</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CD3775" w:rsidRDefault="000869DB" w:rsidP="009916D1">
      <w:pPr>
        <w:rPr>
          <w:sz w:val="24"/>
          <w:szCs w:val="24"/>
        </w:rPr>
      </w:pPr>
      <w:r w:rsidRPr="00CD3775">
        <w:rPr>
          <w:sz w:val="24"/>
          <w:szCs w:val="24"/>
        </w:rPr>
        <w:t>At 2203.18 in clause 10 (D0.3):</w:t>
      </w:r>
    </w:p>
    <w:p w14:paraId="75E54EEC" w14:textId="77777777" w:rsidR="000869DB" w:rsidRPr="00CD3775" w:rsidRDefault="000869DB" w:rsidP="009916D1">
      <w:pPr>
        <w:rPr>
          <w:sz w:val="24"/>
          <w:szCs w:val="24"/>
        </w:rPr>
      </w:pPr>
      <w:r w:rsidRPr="00CD3775">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4881CC6C" w:rsidR="00F83275" w:rsidRPr="00CD3775" w:rsidRDefault="007C44E0" w:rsidP="00AD7E1A">
      <w:pPr>
        <w:jc w:val="both"/>
        <w:rPr>
          <w:sz w:val="24"/>
          <w:szCs w:val="24"/>
        </w:rPr>
      </w:pPr>
      <w:r w:rsidRPr="00CD3775">
        <w:rPr>
          <w:sz w:val="24"/>
          <w:szCs w:val="24"/>
        </w:rPr>
        <w:t>As per the Editor’s Style Guide (09/1034r19), normative verbs shall not appear in informative text.  Suggest to replace “</w:t>
      </w:r>
      <w:r w:rsidR="0080704A" w:rsidRPr="00CD3775">
        <w:rPr>
          <w:sz w:val="24"/>
          <w:szCs w:val="24"/>
        </w:rPr>
        <w:t xml:space="preserve">It </w:t>
      </w:r>
      <w:r w:rsidRPr="00CD3775">
        <w:rPr>
          <w:sz w:val="24"/>
          <w:szCs w:val="24"/>
        </w:rPr>
        <w:t>is recommended to” with “</w:t>
      </w:r>
      <w:r w:rsidR="0080704A" w:rsidRPr="00CD3775">
        <w:rPr>
          <w:sz w:val="24"/>
          <w:szCs w:val="24"/>
        </w:rPr>
        <w:t xml:space="preserve">An MCCAOP owner </w:t>
      </w:r>
      <w:r w:rsidR="00161DCA" w:rsidRPr="00CD3775">
        <w:rPr>
          <w:sz w:val="24"/>
          <w:szCs w:val="24"/>
        </w:rPr>
        <w:t>ought to</w:t>
      </w:r>
      <w:r w:rsidRPr="00CD3775">
        <w:rPr>
          <w:sz w:val="24"/>
          <w:szCs w:val="24"/>
        </w:rPr>
        <w:t>”</w:t>
      </w:r>
      <w:r w:rsidR="00AD7E1A" w:rsidRPr="00CD3775">
        <w:rPr>
          <w:sz w:val="24"/>
          <w:szCs w:val="24"/>
        </w:rPr>
        <w:t>.</w:t>
      </w:r>
    </w:p>
    <w:p w14:paraId="3702D201" w14:textId="77777777" w:rsidR="007C44E0" w:rsidRDefault="007C44E0" w:rsidP="009916D1">
      <w:pPr>
        <w:rPr>
          <w:sz w:val="24"/>
          <w:szCs w:val="24"/>
        </w:rPr>
      </w:pPr>
    </w:p>
    <w:p w14:paraId="023F4603" w14:textId="77777777" w:rsidR="00BE44D0" w:rsidRPr="00CD3775" w:rsidRDefault="00BE44D0" w:rsidP="009916D1">
      <w:pPr>
        <w:rPr>
          <w:sz w:val="24"/>
          <w:szCs w:val="24"/>
        </w:rPr>
      </w:pPr>
      <w:r w:rsidRPr="00CD3775">
        <w:rPr>
          <w:sz w:val="24"/>
          <w:szCs w:val="24"/>
        </w:rPr>
        <w:t>At 2712.59</w:t>
      </w:r>
      <w:r w:rsidR="00BE223C" w:rsidRPr="00CD3775">
        <w:rPr>
          <w:sz w:val="24"/>
          <w:szCs w:val="24"/>
        </w:rPr>
        <w:t xml:space="preserve"> in clause 11</w:t>
      </w:r>
      <w:r w:rsidRPr="00CD3775">
        <w:rPr>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338CDA44" w14:textId="74687410" w:rsidR="00BE44D0" w:rsidRPr="00CD3775" w:rsidRDefault="00F40773" w:rsidP="00AD7E1A">
      <w:pPr>
        <w:jc w:val="both"/>
        <w:rPr>
          <w:sz w:val="24"/>
          <w:szCs w:val="24"/>
        </w:rPr>
      </w:pPr>
      <w:r w:rsidRPr="00CD3775">
        <w:rPr>
          <w:sz w:val="24"/>
          <w:szCs w:val="24"/>
        </w:rPr>
        <w:t xml:space="preserve">Suggest to replace “If the result code is REJECTED_WITH_SUGGESTED_BSS_TRANSITION, the non-AP STA may try to transition to other BSSs. In case that the non-AP STA is recommended to transition to other BSSs, it should do so according to the process defined in 11.21.7” with  “If the result code is REJECTED_WITH_SUGGESTED_BSS_TRANSITION, the non-AP STA </w:t>
      </w:r>
      <w:r w:rsidR="001D6925" w:rsidRPr="00CD3775">
        <w:rPr>
          <w:sz w:val="24"/>
          <w:szCs w:val="24"/>
          <w:u w:val="single"/>
        </w:rPr>
        <w:t>should</w:t>
      </w:r>
      <w:r w:rsidR="001D6925" w:rsidRPr="00CD3775">
        <w:rPr>
          <w:sz w:val="24"/>
          <w:szCs w:val="24"/>
        </w:rPr>
        <w:t xml:space="preserve"> </w:t>
      </w:r>
      <w:r w:rsidRPr="00CD3775">
        <w:rPr>
          <w:strike/>
          <w:sz w:val="24"/>
          <w:szCs w:val="24"/>
        </w:rPr>
        <w:t>may</w:t>
      </w:r>
      <w:r w:rsidRPr="00CD3775">
        <w:rPr>
          <w:sz w:val="24"/>
          <w:szCs w:val="24"/>
        </w:rPr>
        <w:t xml:space="preserve"> try to transition to</w:t>
      </w:r>
      <w:r w:rsidR="0080704A" w:rsidRPr="00CD3775">
        <w:rPr>
          <w:sz w:val="24"/>
          <w:szCs w:val="24"/>
        </w:rPr>
        <w:t xml:space="preserve"> </w:t>
      </w:r>
      <w:r w:rsidR="0080704A" w:rsidRPr="00CD3775">
        <w:rPr>
          <w:sz w:val="24"/>
          <w:szCs w:val="24"/>
          <w:u w:val="single"/>
        </w:rPr>
        <w:t>one of</w:t>
      </w:r>
      <w:r w:rsidRPr="00CD3775">
        <w:rPr>
          <w:sz w:val="24"/>
          <w:szCs w:val="24"/>
          <w:u w:val="single"/>
        </w:rPr>
        <w:t xml:space="preserve"> </w:t>
      </w:r>
      <w:r w:rsidR="0080704A" w:rsidRPr="00CD3775">
        <w:rPr>
          <w:sz w:val="24"/>
          <w:szCs w:val="24"/>
          <w:u w:val="single"/>
        </w:rPr>
        <w:t xml:space="preserve">the suggested </w:t>
      </w:r>
      <w:r w:rsidRPr="00CD3775">
        <w:rPr>
          <w:strike/>
          <w:sz w:val="24"/>
          <w:szCs w:val="24"/>
        </w:rPr>
        <w:t xml:space="preserve">other </w:t>
      </w:r>
      <w:r w:rsidRPr="00CD3775">
        <w:rPr>
          <w:sz w:val="24"/>
          <w:szCs w:val="24"/>
        </w:rPr>
        <w:t>BSSs</w:t>
      </w:r>
      <w:r w:rsidRPr="00CD3775">
        <w:rPr>
          <w:strike/>
          <w:sz w:val="24"/>
          <w:szCs w:val="24"/>
        </w:rPr>
        <w:t>. In case that the non-AP STA is recommended to transition to other BSSs, it should do so</w:t>
      </w:r>
      <w:r w:rsidRPr="00CD3775">
        <w:rPr>
          <w:sz w:val="24"/>
          <w:szCs w:val="24"/>
        </w:rPr>
        <w:t xml:space="preserve"> according to the process defined in 11.21.7”</w:t>
      </w:r>
    </w:p>
    <w:p w14:paraId="36B6D6B1" w14:textId="77777777" w:rsidR="00F40773" w:rsidRPr="00CD3775" w:rsidRDefault="00F40773" w:rsidP="009916D1">
      <w:pPr>
        <w:rPr>
          <w:sz w:val="24"/>
          <w:szCs w:val="24"/>
        </w:rPr>
      </w:pPr>
    </w:p>
    <w:p w14:paraId="3D9E2AC9" w14:textId="77777777" w:rsidR="00BE223C" w:rsidRPr="00CD3775" w:rsidRDefault="00BE223C" w:rsidP="009916D1">
      <w:pPr>
        <w:rPr>
          <w:sz w:val="24"/>
          <w:szCs w:val="24"/>
        </w:rPr>
      </w:pPr>
      <w:r w:rsidRPr="00CD3775">
        <w:rPr>
          <w:sz w:val="24"/>
          <w:szCs w:val="24"/>
        </w:rPr>
        <w:t>At 3333.8 in clause 14 (D0.3):</w:t>
      </w:r>
    </w:p>
    <w:p w14:paraId="77DC30D1" w14:textId="77777777" w:rsidR="00BE223C" w:rsidRPr="00CD3775" w:rsidRDefault="00BE223C" w:rsidP="009916D1">
      <w:pPr>
        <w:rPr>
          <w:sz w:val="24"/>
          <w:szCs w:val="24"/>
        </w:rPr>
      </w:pPr>
      <w:r w:rsidRPr="00CD3775">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60FE2556" w14:textId="52EEED10" w:rsidR="004B1DC2" w:rsidRPr="00CD3775" w:rsidRDefault="00BE223C" w:rsidP="00BE223C">
      <w:pPr>
        <w:rPr>
          <w:sz w:val="24"/>
          <w:szCs w:val="24"/>
        </w:rPr>
      </w:pPr>
      <w:r w:rsidRPr="00CD3775">
        <w:rPr>
          <w:sz w:val="24"/>
          <w:szCs w:val="24"/>
        </w:rPr>
        <w:t>As per the Editor’s Style Guide (09/1034r19), normative verbs shall not appear in informative text.  Suggest to replace “</w:t>
      </w:r>
      <w:r w:rsidR="004B1DC2" w:rsidRPr="00CD3775">
        <w:rPr>
          <w:sz w:val="24"/>
          <w:szCs w:val="24"/>
        </w:rPr>
        <w:t xml:space="preserve">It </w:t>
      </w:r>
      <w:r w:rsidRPr="00CD3775">
        <w:rPr>
          <w:sz w:val="24"/>
          <w:szCs w:val="24"/>
        </w:rPr>
        <w:t>is recommended to” with “</w:t>
      </w:r>
      <w:r w:rsidR="00E65BE2" w:rsidRPr="00CD3775">
        <w:rPr>
          <w:sz w:val="24"/>
          <w:szCs w:val="24"/>
        </w:rPr>
        <w:t>A m</w:t>
      </w:r>
      <w:r w:rsidR="004B1DC2" w:rsidRPr="00CD3775">
        <w:rPr>
          <w:sz w:val="24"/>
          <w:szCs w:val="24"/>
        </w:rPr>
        <w:t>esh STA ought to</w:t>
      </w:r>
      <w:r w:rsidR="00E65BE2" w:rsidRPr="00CD3775">
        <w:rPr>
          <w:sz w:val="24"/>
          <w:szCs w:val="24"/>
        </w:rPr>
        <w:t>”.</w:t>
      </w:r>
    </w:p>
    <w:p w14:paraId="067BC243" w14:textId="77777777" w:rsidR="00BE44D0" w:rsidRPr="00CD3775" w:rsidRDefault="00BE44D0" w:rsidP="009916D1">
      <w:pPr>
        <w:rPr>
          <w:sz w:val="24"/>
          <w:szCs w:val="24"/>
        </w:rPr>
      </w:pPr>
    </w:p>
    <w:p w14:paraId="54D846BA" w14:textId="77777777" w:rsidR="00BE223C" w:rsidRPr="00CD3775" w:rsidRDefault="00DE4598" w:rsidP="009916D1">
      <w:pPr>
        <w:rPr>
          <w:sz w:val="24"/>
          <w:szCs w:val="24"/>
        </w:rPr>
      </w:pPr>
      <w:r w:rsidRPr="00CD3775">
        <w:rPr>
          <w:sz w:val="24"/>
          <w:szCs w:val="24"/>
        </w:rPr>
        <w:t>At 4132.18 in clause 26 (D0.3):</w:t>
      </w:r>
    </w:p>
    <w:p w14:paraId="081E24DE" w14:textId="77777777" w:rsidR="00DE4598" w:rsidRPr="00CD3775" w:rsidRDefault="00DE4598" w:rsidP="009916D1">
      <w:pPr>
        <w:rPr>
          <w:sz w:val="24"/>
          <w:szCs w:val="24"/>
        </w:rPr>
      </w:pPr>
      <w:r w:rsidRPr="00CD3775">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CD3775" w:rsidRDefault="00DE4598" w:rsidP="00DE4598">
      <w:pPr>
        <w:rPr>
          <w:sz w:val="24"/>
          <w:szCs w:val="24"/>
        </w:rPr>
      </w:pPr>
      <w:r w:rsidRPr="00CD3775">
        <w:rPr>
          <w:sz w:val="24"/>
          <w:szCs w:val="24"/>
        </w:rPr>
        <w:t>Agree with the commenter and suggest to replace “is recommended to” with “should”.</w:t>
      </w:r>
    </w:p>
    <w:p w14:paraId="4796F308" w14:textId="77777777" w:rsidR="00BE223C" w:rsidRDefault="00BE223C" w:rsidP="009916D1">
      <w:pPr>
        <w:rPr>
          <w:sz w:val="24"/>
          <w:szCs w:val="24"/>
        </w:rPr>
      </w:pPr>
    </w:p>
    <w:p w14:paraId="66B853E8" w14:textId="77777777" w:rsidR="00340FC7" w:rsidRDefault="00340FC7">
      <w:pPr>
        <w:rPr>
          <w:b/>
          <w:sz w:val="24"/>
          <w:szCs w:val="24"/>
        </w:rPr>
      </w:pPr>
      <w:r>
        <w:rPr>
          <w:b/>
          <w:sz w:val="24"/>
          <w:szCs w:val="24"/>
        </w:rPr>
        <w:br w:type="page"/>
      </w:r>
    </w:p>
    <w:p w14:paraId="04F661C3" w14:textId="7F832F3E" w:rsidR="00DE4598" w:rsidRPr="00CD3775" w:rsidRDefault="00DE4598" w:rsidP="009916D1">
      <w:pPr>
        <w:rPr>
          <w:sz w:val="24"/>
          <w:szCs w:val="24"/>
        </w:rPr>
      </w:pPr>
      <w:r w:rsidRPr="00CD3775">
        <w:rPr>
          <w:sz w:val="24"/>
          <w:szCs w:val="24"/>
        </w:rPr>
        <w:lastRenderedPageBreak/>
        <w:t xml:space="preserve">At </w:t>
      </w:r>
      <w:r w:rsidR="003F5696" w:rsidRPr="00CD3775">
        <w:rPr>
          <w:sz w:val="24"/>
          <w:szCs w:val="24"/>
        </w:rPr>
        <w:t>4136.57 in clause 26 (D0.3):</w:t>
      </w:r>
    </w:p>
    <w:p w14:paraId="7B111FDF" w14:textId="77777777" w:rsidR="003F5696" w:rsidRPr="00CD3775" w:rsidRDefault="003F5696" w:rsidP="009916D1">
      <w:pPr>
        <w:rPr>
          <w:sz w:val="24"/>
          <w:szCs w:val="24"/>
        </w:rPr>
      </w:pPr>
      <w:r w:rsidRPr="00CD3775">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29277EDF" w:rsidR="003F5696" w:rsidRPr="00CD3775" w:rsidRDefault="003F5696" w:rsidP="003F5696">
      <w:pPr>
        <w:rPr>
          <w:sz w:val="24"/>
          <w:szCs w:val="24"/>
        </w:rPr>
      </w:pPr>
      <w:r w:rsidRPr="00CD3775">
        <w:rPr>
          <w:sz w:val="24"/>
          <w:szCs w:val="24"/>
        </w:rPr>
        <w:t>Agree with the commenter and suggest to replace “is recommended to” with “</w:t>
      </w:r>
      <w:r w:rsidR="002A7050" w:rsidRPr="00CD3775">
        <w:rPr>
          <w:sz w:val="24"/>
          <w:szCs w:val="24"/>
        </w:rPr>
        <w:t>may</w:t>
      </w:r>
      <w:r w:rsidRPr="00CD3775">
        <w:rPr>
          <w:sz w:val="24"/>
          <w:szCs w:val="24"/>
        </w:rPr>
        <w:t>”.</w:t>
      </w:r>
    </w:p>
    <w:p w14:paraId="4395AC3F" w14:textId="77777777" w:rsidR="00DE4598" w:rsidRDefault="00DE4598" w:rsidP="009916D1">
      <w:pPr>
        <w:rPr>
          <w:sz w:val="24"/>
          <w:szCs w:val="24"/>
        </w:rPr>
      </w:pPr>
    </w:p>
    <w:p w14:paraId="286CA056" w14:textId="77777777" w:rsidR="009916D1" w:rsidRPr="0009048B" w:rsidRDefault="009916D1" w:rsidP="009916D1">
      <w:pPr>
        <w:rPr>
          <w:b/>
          <w:i/>
          <w:sz w:val="24"/>
          <w:szCs w:val="24"/>
        </w:rPr>
      </w:pPr>
      <w:r w:rsidRPr="00F96C95">
        <w:rPr>
          <w:b/>
          <w:i/>
          <w:sz w:val="24"/>
          <w:szCs w:val="24"/>
          <w:highlight w:val="green"/>
        </w:rPr>
        <w:t>Proposed resolution for CID</w:t>
      </w:r>
      <w:r w:rsidR="00BE44D0" w:rsidRPr="00F96C95">
        <w:rPr>
          <w:b/>
          <w:i/>
          <w:sz w:val="24"/>
          <w:szCs w:val="24"/>
          <w:highlight w:val="green"/>
        </w:rPr>
        <w:t xml:space="preserve"> 161</w:t>
      </w:r>
      <w:r w:rsidRPr="00F96C95">
        <w:rPr>
          <w:b/>
          <w:i/>
          <w:sz w:val="24"/>
          <w:szCs w:val="24"/>
          <w:highlight w:val="green"/>
        </w:rPr>
        <w:t>:</w:t>
      </w:r>
    </w:p>
    <w:p w14:paraId="6A4FC2C7" w14:textId="77777777" w:rsidR="006E3A58" w:rsidRDefault="006E3A58">
      <w:pPr>
        <w:rPr>
          <w:sz w:val="24"/>
          <w:szCs w:val="24"/>
        </w:rPr>
      </w:pPr>
    </w:p>
    <w:p w14:paraId="4F60E083" w14:textId="77777777" w:rsidR="00F96C95" w:rsidRDefault="00F96C95" w:rsidP="0090144E">
      <w:pPr>
        <w:rPr>
          <w:sz w:val="24"/>
          <w:szCs w:val="24"/>
        </w:rPr>
      </w:pPr>
      <w:r>
        <w:rPr>
          <w:sz w:val="24"/>
          <w:szCs w:val="24"/>
        </w:rPr>
        <w:t>Revised.</w:t>
      </w:r>
    </w:p>
    <w:p w14:paraId="5291F0EF" w14:textId="77777777" w:rsidR="00F96C95" w:rsidRDefault="00F96C95" w:rsidP="0090144E">
      <w:pPr>
        <w:rPr>
          <w:sz w:val="24"/>
          <w:szCs w:val="24"/>
        </w:rPr>
      </w:pPr>
    </w:p>
    <w:p w14:paraId="43D4D784" w14:textId="1BC32868" w:rsidR="00F96C95" w:rsidRDefault="00F96C95" w:rsidP="0090144E">
      <w:pPr>
        <w:rPr>
          <w:sz w:val="24"/>
          <w:szCs w:val="24"/>
        </w:rPr>
      </w:pPr>
      <w:r w:rsidRPr="00035B90">
        <w:rPr>
          <w:sz w:val="24"/>
          <w:szCs w:val="24"/>
        </w:rPr>
        <w:t>Make the changes shown under</w:t>
      </w:r>
      <w:r>
        <w:rPr>
          <w:sz w:val="24"/>
          <w:szCs w:val="24"/>
        </w:rPr>
        <w:t xml:space="preserve"> “Proposed changes” for CID 161 </w:t>
      </w:r>
      <w:r w:rsidRPr="00035B90">
        <w:rPr>
          <w:sz w:val="24"/>
          <w:szCs w:val="24"/>
        </w:rPr>
        <w:t>in &lt;this document&gt;</w:t>
      </w:r>
      <w:r>
        <w:rPr>
          <w:sz w:val="24"/>
          <w:szCs w:val="24"/>
        </w:rPr>
        <w:t>.</w:t>
      </w:r>
    </w:p>
    <w:p w14:paraId="575CC2DC" w14:textId="77777777" w:rsidR="00F96C95" w:rsidRDefault="00F96C95" w:rsidP="00F96C9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subclauses</w:t>
      </w:r>
      <w:r>
        <w:rPr>
          <w:sz w:val="24"/>
          <w:szCs w:val="24"/>
        </w:rPr>
        <w:t xml:space="preserve"> that require the change from “data field” to “Data field”.</w:t>
      </w:r>
    </w:p>
    <w:p w14:paraId="2A0CA9D9" w14:textId="77777777" w:rsidR="00E86CAB" w:rsidRDefault="00E86CAB" w:rsidP="009916D1">
      <w:pPr>
        <w:rPr>
          <w:sz w:val="24"/>
          <w:szCs w:val="24"/>
        </w:rPr>
      </w:pPr>
    </w:p>
    <w:p w14:paraId="42DCBAFB" w14:textId="25337A26" w:rsidR="00E86CAB" w:rsidRDefault="00E86CAB" w:rsidP="009916D1">
      <w:pPr>
        <w:rPr>
          <w:sz w:val="24"/>
          <w:szCs w:val="24"/>
        </w:rPr>
      </w:pPr>
      <w:r>
        <w:rPr>
          <w:sz w:val="24"/>
          <w:szCs w:val="24"/>
        </w:rPr>
        <w:t>At 350</w:t>
      </w:r>
      <w:r w:rsidR="002E2B0E">
        <w:rPr>
          <w:sz w:val="24"/>
          <w:szCs w:val="24"/>
        </w:rPr>
        <w:t>8.26</w:t>
      </w:r>
      <w:r>
        <w:rPr>
          <w:sz w:val="24"/>
          <w:szCs w:val="24"/>
        </w:rPr>
        <w:t xml:space="preserve"> (D0.3)</w:t>
      </w:r>
      <w:r w:rsidR="002E2B0E">
        <w:rPr>
          <w:sz w:val="24"/>
          <w:szCs w:val="24"/>
        </w:rPr>
        <w:t xml:space="preserve"> </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4DEE56E4" w:rsidR="00B62297" w:rsidRDefault="00D97C76" w:rsidP="009916D1">
      <w:pPr>
        <w:rPr>
          <w:sz w:val="24"/>
          <w:szCs w:val="24"/>
        </w:rPr>
      </w:pPr>
      <w:r w:rsidRPr="002E2B0E">
        <w:rPr>
          <w:sz w:val="24"/>
          <w:szCs w:val="24"/>
        </w:rPr>
        <w:t>At 3582.37 in clause 20 (D0.3): (replace “The header and data fields” with “The header fields and Data field”)</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3C7C58C9" w14:textId="77777777" w:rsidR="00AD7E1A" w:rsidRDefault="00AD7E1A">
      <w:pPr>
        <w:rPr>
          <w:sz w:val="24"/>
          <w:szCs w:val="24"/>
        </w:rPr>
      </w:pPr>
      <w:r>
        <w:rPr>
          <w:sz w:val="24"/>
          <w:szCs w:val="24"/>
        </w:rPr>
        <w:br w:type="page"/>
      </w:r>
    </w:p>
    <w:p w14:paraId="1B1DD9DA" w14:textId="368C393B" w:rsidR="00083F72" w:rsidRDefault="006C1F07" w:rsidP="009916D1">
      <w:pPr>
        <w:rPr>
          <w:sz w:val="24"/>
          <w:szCs w:val="24"/>
        </w:rPr>
      </w:pPr>
      <w:r>
        <w:rPr>
          <w:sz w:val="24"/>
          <w:szCs w:val="24"/>
        </w:rPr>
        <w:lastRenderedPageBreak/>
        <w:t>At 3586.56 in clause 20 (D0.3):</w:t>
      </w:r>
    </w:p>
    <w:p w14:paraId="633B3E3C" w14:textId="77777777" w:rsidR="006C1F07" w:rsidRDefault="006C1F07" w:rsidP="009916D1">
      <w:pPr>
        <w:rPr>
          <w:sz w:val="24"/>
          <w:szCs w:val="24"/>
        </w:rPr>
      </w:pPr>
      <w:r w:rsidRPr="006C1F07">
        <w:rPr>
          <w:noProof/>
          <w:sz w:val="24"/>
          <w:szCs w:val="24"/>
          <w:lang w:val="en-US" w:eastAsia="zh-CN"/>
        </w:rPr>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4DBA1384" w14:textId="77777777" w:rsidR="00AD7E1A" w:rsidRDefault="00AD7E1A">
      <w:pPr>
        <w:rPr>
          <w:sz w:val="24"/>
          <w:szCs w:val="24"/>
        </w:rPr>
      </w:pPr>
      <w:r>
        <w:rPr>
          <w:sz w:val="24"/>
          <w:szCs w:val="24"/>
        </w:rPr>
        <w:br w:type="page"/>
      </w:r>
    </w:p>
    <w:p w14:paraId="6FAEB9E9" w14:textId="0966F462" w:rsidR="009E6A31" w:rsidRDefault="00557EB4" w:rsidP="009916D1">
      <w:pPr>
        <w:rPr>
          <w:sz w:val="24"/>
          <w:szCs w:val="24"/>
        </w:rPr>
      </w:pPr>
      <w:r>
        <w:rPr>
          <w:sz w:val="24"/>
          <w:szCs w:val="24"/>
        </w:rPr>
        <w:lastRenderedPageBreak/>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768B8677" w14:textId="77777777" w:rsidR="00AD7E1A" w:rsidRDefault="00AD7E1A" w:rsidP="009916D1">
      <w:pPr>
        <w:rPr>
          <w:sz w:val="24"/>
          <w:szCs w:val="24"/>
        </w:rPr>
      </w:pPr>
    </w:p>
    <w:p w14:paraId="40F82F91" w14:textId="77777777" w:rsidR="00557EB4" w:rsidRDefault="001C4968" w:rsidP="009916D1">
      <w:pPr>
        <w:rPr>
          <w:sz w:val="24"/>
          <w:szCs w:val="24"/>
        </w:rPr>
      </w:pPr>
      <w:r>
        <w:rPr>
          <w:sz w:val="24"/>
          <w:szCs w:val="24"/>
        </w:rPr>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78794A" w:rsidRDefault="009916D1" w:rsidP="009916D1">
      <w:pPr>
        <w:rPr>
          <w:b/>
          <w:i/>
          <w:sz w:val="24"/>
          <w:szCs w:val="24"/>
          <w:highlight w:val="green"/>
        </w:rPr>
      </w:pPr>
      <w:r w:rsidRPr="0078794A">
        <w:rPr>
          <w:b/>
          <w:i/>
          <w:sz w:val="24"/>
          <w:szCs w:val="24"/>
          <w:highlight w:val="green"/>
        </w:rPr>
        <w:t>Proposed resolution for CID</w:t>
      </w:r>
      <w:r w:rsidR="00324844" w:rsidRPr="0078794A">
        <w:rPr>
          <w:b/>
          <w:i/>
          <w:sz w:val="24"/>
          <w:szCs w:val="24"/>
          <w:highlight w:val="green"/>
        </w:rPr>
        <w:t xml:space="preserve"> 404</w:t>
      </w:r>
      <w:r w:rsidRPr="0078794A">
        <w:rPr>
          <w:b/>
          <w:i/>
          <w:sz w:val="24"/>
          <w:szCs w:val="24"/>
          <w:highlight w:val="green"/>
        </w:rPr>
        <w:t>:</w:t>
      </w:r>
    </w:p>
    <w:p w14:paraId="240E6D55" w14:textId="77777777" w:rsidR="00324844" w:rsidRPr="0078794A" w:rsidRDefault="00324844">
      <w:pPr>
        <w:rPr>
          <w:sz w:val="24"/>
          <w:szCs w:val="24"/>
          <w:highlight w:val="green"/>
        </w:rPr>
      </w:pPr>
    </w:p>
    <w:p w14:paraId="58852993" w14:textId="77777777" w:rsidR="00324844" w:rsidRPr="00AD7E1A" w:rsidRDefault="00324844" w:rsidP="00324844">
      <w:pPr>
        <w:rPr>
          <w:sz w:val="24"/>
          <w:szCs w:val="24"/>
        </w:rPr>
      </w:pPr>
      <w:r w:rsidRPr="00AD7E1A">
        <w:rPr>
          <w:sz w:val="24"/>
          <w:szCs w:val="24"/>
        </w:rPr>
        <w:t>Revised.</w:t>
      </w:r>
    </w:p>
    <w:p w14:paraId="0798C220" w14:textId="77777777" w:rsidR="00324844" w:rsidRPr="00AD7E1A" w:rsidRDefault="00324844" w:rsidP="00324844">
      <w:pPr>
        <w:rPr>
          <w:sz w:val="24"/>
          <w:szCs w:val="24"/>
        </w:rPr>
      </w:pPr>
    </w:p>
    <w:p w14:paraId="0A5BF150" w14:textId="77777777" w:rsidR="00324844" w:rsidRDefault="00324844" w:rsidP="00324844">
      <w:pPr>
        <w:rPr>
          <w:sz w:val="24"/>
          <w:szCs w:val="24"/>
        </w:rPr>
      </w:pPr>
      <w:r w:rsidRPr="00AD7E1A">
        <w:rPr>
          <w:sz w:val="24"/>
          <w:szCs w:val="24"/>
        </w:rPr>
        <w:t>Make the changes shown under “Proposed changes” for CID 404 in &lt;this document&gt;.</w:t>
      </w:r>
    </w:p>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78794A" w:rsidRDefault="000969DD" w:rsidP="000969DD">
      <w:pPr>
        <w:rPr>
          <w:b/>
          <w:i/>
          <w:sz w:val="24"/>
          <w:szCs w:val="24"/>
          <w:highlight w:val="green"/>
        </w:rPr>
      </w:pPr>
      <w:r w:rsidRPr="0078794A">
        <w:rPr>
          <w:b/>
          <w:i/>
          <w:sz w:val="24"/>
          <w:szCs w:val="24"/>
          <w:highlight w:val="green"/>
        </w:rPr>
        <w:t>Proposed resolution for CID</w:t>
      </w:r>
      <w:r w:rsidR="001D79C8" w:rsidRPr="0078794A">
        <w:rPr>
          <w:b/>
          <w:i/>
          <w:sz w:val="24"/>
          <w:szCs w:val="24"/>
          <w:highlight w:val="green"/>
        </w:rPr>
        <w:t xml:space="preserve"> 233</w:t>
      </w:r>
      <w:r w:rsidRPr="0078794A">
        <w:rPr>
          <w:b/>
          <w:i/>
          <w:sz w:val="24"/>
          <w:szCs w:val="24"/>
          <w:highlight w:val="green"/>
        </w:rPr>
        <w:t>:</w:t>
      </w:r>
    </w:p>
    <w:p w14:paraId="5CF8546D" w14:textId="77777777" w:rsidR="001D79C8" w:rsidRPr="0078794A" w:rsidRDefault="001D79C8">
      <w:pPr>
        <w:rPr>
          <w:sz w:val="24"/>
          <w:szCs w:val="24"/>
          <w:highlight w:val="green"/>
        </w:rPr>
      </w:pPr>
    </w:p>
    <w:p w14:paraId="3DCBC100" w14:textId="77777777" w:rsidR="000969DD" w:rsidRDefault="001D79C8">
      <w:pPr>
        <w:rPr>
          <w:sz w:val="24"/>
          <w:szCs w:val="24"/>
        </w:rPr>
      </w:pPr>
      <w:r w:rsidRPr="00AD7E1A">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09048B">
        <w:rPr>
          <w:b/>
          <w:i/>
          <w:sz w:val="24"/>
          <w:szCs w:val="24"/>
        </w:rPr>
        <w:lastRenderedPageBreak/>
        <w:t>Proposed resolution for CID</w:t>
      </w:r>
      <w:r w:rsidR="00B52360">
        <w:rPr>
          <w:b/>
          <w:i/>
          <w:sz w:val="24"/>
          <w:szCs w:val="24"/>
        </w:rPr>
        <w:t xml:space="preserve"> 333</w:t>
      </w:r>
      <w:r w:rsidRPr="0009048B">
        <w:rPr>
          <w:b/>
          <w:i/>
          <w:sz w:val="24"/>
          <w:szCs w:val="24"/>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sectorized beacons for its power saving” with “Sector training may also be used by STAs to reduce time for sector discovery, and </w:t>
      </w:r>
      <w:commentRangeStart w:id="0"/>
      <w:commentRangeStart w:id="1"/>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sectorized beacon</w:t>
      </w:r>
      <w:commentRangeEnd w:id="0"/>
      <w:r w:rsidR="006A4349">
        <w:rPr>
          <w:sz w:val="24"/>
          <w:szCs w:val="24"/>
        </w:rPr>
        <w:t>s</w:t>
      </w:r>
      <w:r w:rsidR="00BC1F08">
        <w:rPr>
          <w:rStyle w:val="CommentReference"/>
        </w:rPr>
        <w:commentReference w:id="0"/>
      </w:r>
      <w:commentRangeEnd w:id="1"/>
      <w:r w:rsidR="00372BAF">
        <w:rPr>
          <w:rStyle w:val="CommentReference"/>
        </w:rPr>
        <w:commentReference w:id="1"/>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09048B">
        <w:rPr>
          <w:b/>
          <w:i/>
          <w:sz w:val="24"/>
          <w:szCs w:val="24"/>
        </w:rPr>
        <w:t>Proposed resolution for CID</w:t>
      </w:r>
      <w:r w:rsidR="002B0EE8">
        <w:rPr>
          <w:b/>
          <w:i/>
          <w:sz w:val="24"/>
          <w:szCs w:val="24"/>
        </w:rPr>
        <w:t xml:space="preserve"> 256</w:t>
      </w:r>
      <w:r w:rsidRPr="0009048B">
        <w:rPr>
          <w:b/>
          <w:i/>
          <w:sz w:val="24"/>
          <w:szCs w:val="24"/>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49B94333"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09048B">
        <w:rPr>
          <w:b/>
          <w:i/>
          <w:sz w:val="24"/>
          <w:szCs w:val="24"/>
        </w:rPr>
        <w:t>Proposed resolution for CID</w:t>
      </w:r>
      <w:r w:rsidR="00114BE1">
        <w:rPr>
          <w:b/>
          <w:i/>
          <w:sz w:val="24"/>
          <w:szCs w:val="24"/>
        </w:rPr>
        <w:t xml:space="preserve"> 385</w:t>
      </w:r>
      <w:r w:rsidRPr="0009048B">
        <w:rPr>
          <w:b/>
          <w:i/>
          <w:sz w:val="24"/>
          <w:szCs w:val="24"/>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000A5352" w:rsidR="00FF0A1E" w:rsidRDefault="00FF0A1E" w:rsidP="00AF138D">
      <w:pPr>
        <w:rPr>
          <w:sz w:val="24"/>
          <w:szCs w:val="24"/>
        </w:rPr>
      </w:pPr>
      <w:r>
        <w:rPr>
          <w:sz w:val="24"/>
          <w:szCs w:val="24"/>
        </w:rPr>
        <w:t>At 4032.29 (D0.3), replace “540 MHz” with “</w:t>
      </w:r>
      <w:r w:rsidR="004B62A7">
        <w:rPr>
          <w:sz w:val="24"/>
          <w:szCs w:val="24"/>
        </w:rPr>
        <w:t xml:space="preserve">a </w:t>
      </w:r>
      <w:r>
        <w:rPr>
          <w:sz w:val="24"/>
          <w:szCs w:val="24"/>
        </w:rPr>
        <w:t>540 MHz channel”.</w:t>
      </w:r>
    </w:p>
    <w:p w14:paraId="0A542AD5" w14:textId="272B0E76" w:rsidR="00FF0A1E" w:rsidRDefault="00FF0A1E" w:rsidP="00AF138D">
      <w:pPr>
        <w:rPr>
          <w:sz w:val="24"/>
          <w:szCs w:val="24"/>
        </w:rPr>
      </w:pPr>
      <w:r>
        <w:rPr>
          <w:sz w:val="24"/>
          <w:szCs w:val="24"/>
        </w:rPr>
        <w:t>At 4032.30 (D0.3), replace “1080 MHz” with “</w:t>
      </w:r>
      <w:r w:rsidR="004B62A7">
        <w:rPr>
          <w:sz w:val="24"/>
          <w:szCs w:val="24"/>
        </w:rPr>
        <w:t xml:space="preserve">a </w:t>
      </w:r>
      <w:r>
        <w:rPr>
          <w:sz w:val="24"/>
          <w:szCs w:val="24"/>
        </w:rPr>
        <w:t>1080 MHz channel”.</w:t>
      </w:r>
    </w:p>
    <w:p w14:paraId="40842947" w14:textId="25A194F8" w:rsidR="00B13454" w:rsidRDefault="00B13454" w:rsidP="00AF138D">
      <w:pPr>
        <w:rPr>
          <w:sz w:val="24"/>
          <w:szCs w:val="24"/>
        </w:rPr>
      </w:pPr>
      <w:r>
        <w:rPr>
          <w:sz w:val="24"/>
          <w:szCs w:val="24"/>
        </w:rPr>
        <w:t>At 4011.59 (D0.3), replace “540 MHz channel” with “a 540 MHz channel”.</w:t>
      </w:r>
    </w:p>
    <w:p w14:paraId="32933AD4" w14:textId="77777777" w:rsidR="00B13454" w:rsidRDefault="00B13454" w:rsidP="00B13454">
      <w:pPr>
        <w:rPr>
          <w:sz w:val="24"/>
          <w:szCs w:val="24"/>
        </w:rPr>
      </w:pPr>
      <w:r>
        <w:rPr>
          <w:sz w:val="24"/>
          <w:szCs w:val="24"/>
        </w:rPr>
        <w:t>At 4011.60 (D0.3), replace “1080 MHz channel” with “a 1080 MHz channel”.</w:t>
      </w: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77777777" w:rsidR="00761731" w:rsidRDefault="00761731" w:rsidP="00AF138D">
      <w:pPr>
        <w:rPr>
          <w:sz w:val="24"/>
          <w:szCs w:val="24"/>
        </w:rPr>
      </w:pPr>
      <w:r>
        <w:rPr>
          <w:sz w:val="24"/>
          <w:szCs w:val="24"/>
        </w:rPr>
        <w:t>At 877.20 (D0.3), change “To/From DS combinations in Data frames” to “Combinations of To DS and From DS subfields in Data frames”.</w:t>
      </w:r>
    </w:p>
    <w:p w14:paraId="394E4E2B" w14:textId="77777777" w:rsidR="00761731" w:rsidRDefault="00761731" w:rsidP="00AF138D">
      <w:pPr>
        <w:rPr>
          <w:sz w:val="24"/>
          <w:szCs w:val="24"/>
        </w:rPr>
      </w:pPr>
    </w:p>
    <w:p w14:paraId="0C198D75" w14:textId="77777777" w:rsidR="00761731" w:rsidRDefault="00761731" w:rsidP="00AF138D">
      <w:pPr>
        <w:rPr>
          <w:sz w:val="24"/>
          <w:szCs w:val="24"/>
        </w:rPr>
      </w:pPr>
      <w:r>
        <w:rPr>
          <w:sz w:val="24"/>
          <w:szCs w:val="24"/>
        </w:rPr>
        <w:t>At 877.23 (D0.3), change “To DS and From DS values” to “To DS and From DS subfield values”.</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2"/>
      <w:commentRangeStart w:id="3"/>
      <w:r>
        <w:rPr>
          <w:sz w:val="24"/>
          <w:szCs w:val="24"/>
        </w:rPr>
        <w:t>To DS and From DS subfields</w:t>
      </w:r>
      <w:commentRangeEnd w:id="2"/>
      <w:r w:rsidR="002838C7">
        <w:rPr>
          <w:rStyle w:val="CommentReference"/>
        </w:rPr>
        <w:commentReference w:id="2"/>
      </w:r>
      <w:commentRangeEnd w:id="3"/>
      <w:r w:rsidR="000B344A">
        <w:rPr>
          <w:rStyle w:val="CommentReference"/>
        </w:rPr>
        <w:commentReference w:id="3"/>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4"/>
      <w:commentRangeStart w:id="5"/>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4"/>
      <w:r w:rsidR="00B76848">
        <w:rPr>
          <w:rStyle w:val="CommentReference"/>
        </w:rPr>
        <w:commentReference w:id="4"/>
      </w:r>
      <w:commentRangeEnd w:id="5"/>
      <w:r w:rsidR="000B344A">
        <w:rPr>
          <w:rStyle w:val="CommentReference"/>
        </w:rPr>
        <w:commentReference w:id="5"/>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09048B">
        <w:rPr>
          <w:b/>
          <w:i/>
          <w:sz w:val="24"/>
          <w:szCs w:val="24"/>
        </w:rPr>
        <w:t>Proposed resolution for CID</w:t>
      </w:r>
      <w:r w:rsidR="00FB3B02">
        <w:rPr>
          <w:b/>
          <w:i/>
          <w:sz w:val="24"/>
          <w:szCs w:val="24"/>
        </w:rPr>
        <w:t xml:space="preserve"> 278</w:t>
      </w:r>
      <w:r w:rsidRPr="0009048B">
        <w:rPr>
          <w:b/>
          <w:i/>
          <w:sz w:val="24"/>
          <w:szCs w:val="24"/>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09048B">
        <w:rPr>
          <w:b/>
          <w:i/>
          <w:sz w:val="24"/>
          <w:szCs w:val="24"/>
        </w:rPr>
        <w:t>Proposed resolution for CID</w:t>
      </w:r>
      <w:r w:rsidR="002E297D">
        <w:rPr>
          <w:b/>
          <w:i/>
          <w:sz w:val="24"/>
          <w:szCs w:val="24"/>
        </w:rPr>
        <w:t xml:space="preserve"> 479</w:t>
      </w:r>
      <w:r w:rsidRPr="0009048B">
        <w:rPr>
          <w:b/>
          <w:i/>
          <w:sz w:val="24"/>
          <w:szCs w:val="24"/>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09048B">
        <w:rPr>
          <w:b/>
          <w:i/>
          <w:sz w:val="24"/>
          <w:szCs w:val="24"/>
        </w:rPr>
        <w:t>Proposed resolution for CID</w:t>
      </w:r>
      <w:r w:rsidR="00E86545">
        <w:rPr>
          <w:b/>
          <w:i/>
          <w:sz w:val="24"/>
          <w:szCs w:val="24"/>
        </w:rPr>
        <w:t xml:space="preserve"> 515</w:t>
      </w:r>
      <w:r w:rsidRPr="0009048B">
        <w:rPr>
          <w:b/>
          <w:i/>
          <w:sz w:val="24"/>
          <w:szCs w:val="24"/>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09048B">
        <w:rPr>
          <w:b/>
          <w:i/>
          <w:sz w:val="24"/>
          <w:szCs w:val="24"/>
        </w:rPr>
        <w:t>Proposed resolution for CID</w:t>
      </w:r>
      <w:r w:rsidR="000A721C">
        <w:rPr>
          <w:b/>
          <w:i/>
          <w:sz w:val="24"/>
          <w:szCs w:val="24"/>
        </w:rPr>
        <w:t xml:space="preserve"> 525</w:t>
      </w:r>
      <w:r w:rsidRPr="0009048B">
        <w:rPr>
          <w:b/>
          <w:i/>
          <w:sz w:val="24"/>
          <w:szCs w:val="24"/>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4CABE2A4" w14:textId="77777777" w:rsidR="004A331E" w:rsidRDefault="004A331E" w:rsidP="004A331E">
      <w:pPr>
        <w:rPr>
          <w:sz w:val="24"/>
          <w:szCs w:val="24"/>
        </w:rPr>
      </w:pPr>
      <w:r w:rsidRPr="00035B90">
        <w:rPr>
          <w:sz w:val="24"/>
          <w:szCs w:val="24"/>
        </w:rPr>
        <w:t>Make the changes shown under</w:t>
      </w:r>
      <w:r>
        <w:rPr>
          <w:sz w:val="24"/>
          <w:szCs w:val="24"/>
        </w:rPr>
        <w:t xml:space="preserve"> “Proposed changes” for CID 525 </w:t>
      </w:r>
      <w:r w:rsidRPr="00035B90">
        <w:rPr>
          <w:sz w:val="24"/>
          <w:szCs w:val="24"/>
        </w:rPr>
        <w:t>in &lt;this document&gt;</w:t>
      </w:r>
      <w:r>
        <w:rPr>
          <w:sz w:val="24"/>
          <w:szCs w:val="24"/>
        </w:rPr>
        <w:t>.</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09048B">
        <w:rPr>
          <w:b/>
          <w:i/>
          <w:sz w:val="24"/>
          <w:szCs w:val="24"/>
        </w:rPr>
        <w:t>Proposed resolution for CID</w:t>
      </w:r>
      <w:r w:rsidR="00547CA4">
        <w:rPr>
          <w:b/>
          <w:i/>
          <w:sz w:val="24"/>
          <w:szCs w:val="24"/>
        </w:rPr>
        <w:t xml:space="preserve"> 145</w:t>
      </w:r>
      <w:r w:rsidRPr="0009048B">
        <w:rPr>
          <w:b/>
          <w:i/>
          <w:sz w:val="24"/>
          <w:szCs w:val="24"/>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09048B">
        <w:rPr>
          <w:b/>
          <w:i/>
          <w:sz w:val="24"/>
          <w:szCs w:val="24"/>
        </w:rPr>
        <w:t>Proposed resolution for CID</w:t>
      </w:r>
      <w:r w:rsidR="004F28EF">
        <w:rPr>
          <w:b/>
          <w:i/>
          <w:sz w:val="24"/>
          <w:szCs w:val="24"/>
        </w:rPr>
        <w:t xml:space="preserve"> 442</w:t>
      </w:r>
      <w:r w:rsidRPr="0009048B">
        <w:rPr>
          <w:b/>
          <w:i/>
          <w:sz w:val="24"/>
          <w:szCs w:val="24"/>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There are 15 instances of “related to” in subclause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09048B">
        <w:rPr>
          <w:b/>
          <w:i/>
          <w:sz w:val="24"/>
          <w:szCs w:val="24"/>
        </w:rPr>
        <w:t>Proposed resolution for CID</w:t>
      </w:r>
      <w:r w:rsidR="001B68DE">
        <w:rPr>
          <w:b/>
          <w:i/>
          <w:sz w:val="24"/>
          <w:szCs w:val="24"/>
        </w:rPr>
        <w:t xml:space="preserve"> 407</w:t>
      </w:r>
      <w:r w:rsidRPr="0009048B">
        <w:rPr>
          <w:b/>
          <w:i/>
          <w:sz w:val="24"/>
          <w:szCs w:val="24"/>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6"/>
      <w:commentRangeStart w:id="7"/>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6"/>
      <w:r w:rsidR="00E523E3">
        <w:rPr>
          <w:rStyle w:val="CommentReference"/>
        </w:rPr>
        <w:commentReference w:id="6"/>
      </w:r>
      <w:commentRangeEnd w:id="7"/>
      <w:r w:rsidR="000B344A">
        <w:rPr>
          <w:rStyle w:val="CommentReference"/>
        </w:rPr>
        <w:commentReference w:id="7"/>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09048B">
        <w:rPr>
          <w:b/>
          <w:i/>
          <w:sz w:val="24"/>
          <w:szCs w:val="24"/>
        </w:rPr>
        <w:t>Proposed resolution for CID</w:t>
      </w:r>
      <w:r>
        <w:rPr>
          <w:b/>
          <w:i/>
          <w:sz w:val="24"/>
          <w:szCs w:val="24"/>
        </w:rPr>
        <w:t xml:space="preserve"> 209</w:t>
      </w:r>
      <w:r w:rsidRPr="0009048B">
        <w:rPr>
          <w:b/>
          <w:i/>
          <w:sz w:val="24"/>
          <w:szCs w:val="24"/>
        </w:rPr>
        <w:t>:</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34B9DB76"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00B13454">
        <w:rPr>
          <w:sz w:val="24"/>
          <w:szCs w:val="24"/>
          <w:lang w:val="en-US"/>
        </w:rPr>
        <w:t xml:space="preserve">nonce </w:t>
      </w:r>
      <w:r w:rsidRPr="00453281">
        <w:rPr>
          <w:sz w:val="24"/>
          <w:szCs w:val="24"/>
          <w:lang w:val="en-US"/>
        </w:rPr>
        <w:t>is shown in Figure 12-21</w:t>
      </w:r>
      <w:r>
        <w:rPr>
          <w:sz w:val="24"/>
          <w:szCs w:val="24"/>
          <w:lang w:val="en-US"/>
        </w:rPr>
        <w:t>.”</w:t>
      </w:r>
    </w:p>
    <w:p w14:paraId="05BABBB8" w14:textId="77777777" w:rsidR="000B344A" w:rsidRDefault="000B344A" w:rsidP="00E049E0">
      <w:pPr>
        <w:rPr>
          <w:sz w:val="24"/>
          <w:szCs w:val="24"/>
        </w:rPr>
      </w:pPr>
    </w:p>
    <w:p w14:paraId="02EC97C7" w14:textId="09446287"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“T</w:t>
      </w:r>
      <w:r w:rsidRPr="00453281">
        <w:rPr>
          <w:sz w:val="24"/>
          <w:szCs w:val="24"/>
          <w:lang w:val="en-US"/>
        </w:rPr>
        <w:t xml:space="preserve">he </w:t>
      </w:r>
      <w:r>
        <w:rPr>
          <w:sz w:val="24"/>
          <w:szCs w:val="24"/>
          <w:lang w:val="en-US"/>
        </w:rPr>
        <w:t xml:space="preserve">GCM </w:t>
      </w:r>
      <w:r w:rsidR="00B13454">
        <w:rPr>
          <w:sz w:val="24"/>
          <w:szCs w:val="24"/>
          <w:lang w:val="en-US"/>
        </w:rPr>
        <w:t>n</w:t>
      </w:r>
      <w:r w:rsidR="00B3722B">
        <w:rPr>
          <w:sz w:val="24"/>
          <w:szCs w:val="24"/>
          <w:lang w:val="en-US"/>
        </w:rPr>
        <w:t>once</w:t>
      </w:r>
      <w:r w:rsidRPr="00453281">
        <w:rPr>
          <w:sz w:val="24"/>
          <w:szCs w:val="24"/>
          <w:lang w:val="en-US"/>
        </w:rPr>
        <w:t xml:space="preserve"> is shown in Figure 12-2</w:t>
      </w:r>
      <w:r>
        <w:rPr>
          <w:sz w:val="24"/>
          <w:szCs w:val="24"/>
          <w:lang w:val="en-US"/>
        </w:rPr>
        <w:t>8.”.</w:t>
      </w:r>
    </w:p>
    <w:p w14:paraId="61361E65" w14:textId="77777777" w:rsidR="00CB0618" w:rsidRDefault="00CB0618">
      <w:pPr>
        <w:rPr>
          <w:sz w:val="24"/>
          <w:szCs w:val="24"/>
        </w:rPr>
      </w:pPr>
    </w:p>
    <w:p w14:paraId="097CA92D" w14:textId="77777777" w:rsidR="00CB0618" w:rsidRDefault="00CB0618">
      <w:pPr>
        <w:rPr>
          <w:sz w:val="24"/>
          <w:szCs w:val="24"/>
        </w:rPr>
      </w:pPr>
      <w:r>
        <w:rPr>
          <w:sz w:val="24"/>
          <w:szCs w:val="24"/>
        </w:rPr>
        <w:t>At 3083.21 and 3083.52 (D0.3), replace “CCM nonce block” with “CCM nonce”.</w:t>
      </w:r>
    </w:p>
    <w:p w14:paraId="6C248F32" w14:textId="77777777" w:rsidR="00F16C06" w:rsidRDefault="00F16C06">
      <w:pPr>
        <w:rPr>
          <w:sz w:val="24"/>
          <w:szCs w:val="24"/>
        </w:rPr>
      </w:pPr>
    </w:p>
    <w:p w14:paraId="38438CE9" w14:textId="15E6C901" w:rsidR="005C2AD4" w:rsidRDefault="00F16C06">
      <w:pPr>
        <w:rPr>
          <w:sz w:val="24"/>
          <w:szCs w:val="24"/>
        </w:rPr>
      </w:pPr>
      <w:r>
        <w:rPr>
          <w:sz w:val="24"/>
          <w:szCs w:val="24"/>
        </w:rPr>
        <w:t>At 3097.11 (D0.3), replace “GCM nonce block” with “GCM nonce”.</w:t>
      </w:r>
      <w:bookmarkStart w:id="8" w:name="_GoBack"/>
      <w:bookmarkEnd w:id="8"/>
      <w:r w:rsidR="005C2AD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Figure 12-23--CCMP decapsulation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09048B">
        <w:rPr>
          <w:b/>
          <w:i/>
          <w:sz w:val="24"/>
          <w:szCs w:val="24"/>
        </w:rPr>
        <w:t>Proposed resolution for CID</w:t>
      </w:r>
      <w:r>
        <w:rPr>
          <w:b/>
          <w:i/>
          <w:sz w:val="24"/>
          <w:szCs w:val="24"/>
        </w:rPr>
        <w:t xml:space="preserve"> 207</w:t>
      </w:r>
      <w:r w:rsidRPr="0009048B">
        <w:rPr>
          <w:b/>
          <w:i/>
          <w:sz w:val="24"/>
          <w:szCs w:val="24"/>
        </w:rPr>
        <w:t>:</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9"/>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9"/>
      <w:r w:rsidR="002838C7">
        <w:rPr>
          <w:rStyle w:val="CommentReference"/>
        </w:rPr>
        <w:commentReference w:id="9"/>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09048B">
        <w:rPr>
          <w:b/>
          <w:i/>
          <w:sz w:val="24"/>
          <w:szCs w:val="24"/>
        </w:rPr>
        <w:t>Proposed resolution for CID</w:t>
      </w:r>
      <w:r>
        <w:rPr>
          <w:b/>
          <w:i/>
          <w:sz w:val="24"/>
          <w:szCs w:val="24"/>
        </w:rPr>
        <w:t xml:space="preserve"> 577</w:t>
      </w:r>
      <w:r w:rsidRPr="0009048B">
        <w:rPr>
          <w:b/>
          <w:i/>
          <w:sz w:val="24"/>
          <w:szCs w:val="24"/>
        </w:rPr>
        <w:t>:</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09048B">
        <w:rPr>
          <w:b/>
          <w:i/>
          <w:sz w:val="24"/>
          <w:szCs w:val="24"/>
        </w:rPr>
        <w:t>Proposed resolution for CID</w:t>
      </w:r>
      <w:r>
        <w:rPr>
          <w:b/>
          <w:i/>
          <w:sz w:val="24"/>
          <w:szCs w:val="24"/>
        </w:rPr>
        <w:t xml:space="preserve"> 38</w:t>
      </w:r>
      <w:r w:rsidRPr="0009048B">
        <w:rPr>
          <w:b/>
          <w:i/>
          <w:sz w:val="24"/>
          <w:szCs w:val="24"/>
        </w:rPr>
        <w:t>:</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Change "[This" and "(This" to ". This".  Change "field.]" to "field."  Change "value.)" to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09048B">
        <w:rPr>
          <w:b/>
          <w:i/>
          <w:sz w:val="24"/>
          <w:szCs w:val="24"/>
        </w:rPr>
        <w:t>Proposed resolution for CID</w:t>
      </w:r>
      <w:r>
        <w:rPr>
          <w:b/>
          <w:i/>
          <w:sz w:val="24"/>
          <w:szCs w:val="24"/>
        </w:rPr>
        <w:t xml:space="preserve"> 216</w:t>
      </w:r>
      <w:r w:rsidRPr="0009048B">
        <w:rPr>
          <w:b/>
          <w:i/>
          <w:sz w:val="24"/>
          <w:szCs w:val="24"/>
        </w:rPr>
        <w:t>:</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7777777" w:rsidR="001E2E93" w:rsidRDefault="001E2E93" w:rsidP="00AA4B9E">
      <w:pPr>
        <w:jc w:val="both"/>
        <w:rPr>
          <w:sz w:val="24"/>
          <w:szCs w:val="24"/>
        </w:rPr>
      </w:pPr>
      <w:r>
        <w:rPr>
          <w:sz w:val="24"/>
          <w:szCs w:val="24"/>
        </w:rPr>
        <w:t>At 985.15, “for Mesh Data” with “for 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77777777" w:rsidR="0039217D" w:rsidRDefault="0039217D" w:rsidP="00AA4B9E">
      <w:pPr>
        <w:jc w:val="both"/>
        <w:rPr>
          <w:sz w:val="24"/>
          <w:szCs w:val="24"/>
        </w:rPr>
      </w:pPr>
      <w:r>
        <w:rPr>
          <w:sz w:val="24"/>
          <w:szCs w:val="24"/>
        </w:rPr>
        <w:t>At 986.27, replace “for Mesh Data” with “for mesh Data frame”.</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p>
    <w:sectPr w:rsidR="00756801" w:rsidSect="00620EB6">
      <w:headerReference w:type="default" r:id="rId125"/>
      <w:footerReference w:type="default" r:id="rId126"/>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1-10-04T08:39:00Z" w:initials="MR">
    <w:p w14:paraId="2C894603" w14:textId="5732F5B6" w:rsidR="006A4349" w:rsidRDefault="006A4349">
      <w:pPr>
        <w:pStyle w:val="CommentText"/>
      </w:pPr>
      <w:r>
        <w:rPr>
          <w:rStyle w:val="CommentReference"/>
        </w:rPr>
        <w:annotationRef/>
      </w:r>
      <w:r>
        <w:t>I don’t know what this means.  To not have to {listen to all beacons for PS}?  {To not have to listen to all beacons}, for PS?  Something else?</w:t>
      </w:r>
    </w:p>
  </w:comment>
  <w:comment w:id="1" w:author="Edward Au" w:date="2021-10-18T10:37:00Z" w:initials="EA">
    <w:p w14:paraId="25D92D34" w14:textId="250A5E22" w:rsidR="006A4349" w:rsidRDefault="006A4349">
      <w:pPr>
        <w:pStyle w:val="CommentText"/>
      </w:pPr>
      <w:r>
        <w:rPr>
          <w:rStyle w:val="CommentReference"/>
        </w:rPr>
        <w:annotationRef/>
      </w:r>
      <w:r>
        <w:t>There are two purposes for sector training – namely 1) to reduce time for sector discovery, and 2) to allow STAs not to listen to all sectorized beacons to achieve power saving.</w:t>
      </w:r>
    </w:p>
    <w:p w14:paraId="2973AEBF" w14:textId="77777777" w:rsidR="006A4349" w:rsidRDefault="006A4349">
      <w:pPr>
        <w:pStyle w:val="CommentText"/>
      </w:pPr>
    </w:p>
    <w:p w14:paraId="5603A0B0" w14:textId="64386ED4" w:rsidR="006A4349" w:rsidRDefault="006A4349">
      <w:pPr>
        <w:pStyle w:val="CommentText"/>
      </w:pPr>
      <w:r>
        <w:t>I edited the proposed changes.</w:t>
      </w:r>
    </w:p>
  </w:comment>
  <w:comment w:id="2" w:author="Mark Rison" w:date="2021-10-04T08:43:00Z" w:initials="MR">
    <w:p w14:paraId="21B0133A" w14:textId="35380F6B" w:rsidR="006A4349" w:rsidRDefault="006A4349">
      <w:pPr>
        <w:pStyle w:val="CommentText"/>
      </w:pPr>
      <w:r>
        <w:rPr>
          <w:rStyle w:val="CommentReference"/>
        </w:rPr>
        <w:annotationRef/>
      </w:r>
      <w:r>
        <w:t>+the</w:t>
      </w:r>
    </w:p>
  </w:comment>
  <w:comment w:id="3" w:author="Edward Au" w:date="2021-10-18T10:45:00Z" w:initials="EA">
    <w:p w14:paraId="5C23726B" w14:textId="4FFFAA7A" w:rsidR="000B344A" w:rsidRDefault="000B344A">
      <w:pPr>
        <w:pStyle w:val="CommentText"/>
      </w:pPr>
      <w:r>
        <w:rPr>
          <w:rStyle w:val="CommentReference"/>
        </w:rPr>
        <w:annotationRef/>
      </w:r>
      <w:r>
        <w:t>Thanks and added.</w:t>
      </w:r>
    </w:p>
  </w:comment>
  <w:comment w:id="4" w:author="Mark Rison" w:date="2021-10-04T08:56:00Z" w:initials="MR">
    <w:p w14:paraId="7EF53307" w14:textId="5520FFBE" w:rsidR="006A4349" w:rsidRDefault="006A4349">
      <w:pPr>
        <w:pStyle w:val="CommentText"/>
      </w:pPr>
      <w:r>
        <w:rPr>
          <w:rStyle w:val="CommentReference"/>
        </w:rPr>
        <w:annotationRef/>
      </w:r>
      <w:r>
        <w:t>+the?</w:t>
      </w:r>
    </w:p>
  </w:comment>
  <w:comment w:id="5" w:author="Edward Au" w:date="2021-10-18T10:45:00Z" w:initials="EA">
    <w:p w14:paraId="37565103" w14:textId="02308489" w:rsidR="000B344A" w:rsidRDefault="000B344A">
      <w:pPr>
        <w:pStyle w:val="CommentText"/>
      </w:pPr>
      <w:r>
        <w:rPr>
          <w:rStyle w:val="CommentReference"/>
        </w:rPr>
        <w:annotationRef/>
      </w:r>
      <w:r>
        <w:t>Thanks and added.</w:t>
      </w:r>
    </w:p>
  </w:comment>
  <w:comment w:id="6" w:author="Mark Rison" w:date="2021-10-04T08:58:00Z" w:initials="MR">
    <w:p w14:paraId="70B6A457" w14:textId="18B99ADE" w:rsidR="006A4349" w:rsidRDefault="006A4349">
      <w:pPr>
        <w:pStyle w:val="CommentText"/>
      </w:pPr>
      <w:r>
        <w:rPr>
          <w:rStyle w:val="CommentReference"/>
        </w:rPr>
        <w:annotationRef/>
      </w:r>
      <w:r>
        <w:t>Should this be made to end up as “The GCM none is shown in…” as for CCM?</w:t>
      </w:r>
    </w:p>
  </w:comment>
  <w:comment w:id="7" w:author="Edward Au" w:date="2021-10-18T10:48:00Z" w:initials="EA">
    <w:p w14:paraId="258767FD" w14:textId="299C027F" w:rsidR="000B344A" w:rsidRDefault="000B344A">
      <w:pPr>
        <w:pStyle w:val="CommentText"/>
      </w:pPr>
      <w:r>
        <w:rPr>
          <w:rStyle w:val="CommentReference"/>
        </w:rPr>
        <w:annotationRef/>
      </w:r>
      <w:r>
        <w:t>I updated the proposed resolution to indicate these are CCM Nonce and GCM Nonce fields.</w:t>
      </w:r>
    </w:p>
  </w:comment>
  <w:comment w:id="9" w:author="Mark Rison" w:date="2021-10-04T08:45:00Z" w:initials="MR">
    <w:p w14:paraId="7BE9FC85" w14:textId="44A10A5E" w:rsidR="006A4349" w:rsidRDefault="006A4349">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4603" w15:done="0"/>
  <w15:commentEx w15:paraId="5603A0B0" w15:paraIdParent="2C894603"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857C" w14:textId="77777777" w:rsidR="002D4713" w:rsidRDefault="002D4713">
      <w:r>
        <w:separator/>
      </w:r>
    </w:p>
  </w:endnote>
  <w:endnote w:type="continuationSeparator" w:id="0">
    <w:p w14:paraId="36F0B196" w14:textId="77777777" w:rsidR="002D4713" w:rsidRDefault="002D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6A4349" w:rsidRPr="00BA0DA4" w:rsidRDefault="006A4349"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F16C06">
      <w:rPr>
        <w:noProof/>
        <w:lang w:val="fr-FR"/>
      </w:rPr>
      <w:t>32</w:t>
    </w:r>
    <w:r>
      <w:rPr>
        <w:noProof/>
      </w:rPr>
      <w:fldChar w:fldCharType="end"/>
    </w:r>
    <w:r w:rsidRPr="00BA0DA4">
      <w:rPr>
        <w:lang w:val="fr-FR"/>
      </w:rPr>
      <w:tab/>
      <w:t xml:space="preserve">     Edward Au, Huawei Technologies</w:t>
    </w:r>
  </w:p>
  <w:p w14:paraId="2785E74B" w14:textId="77777777" w:rsidR="006A4349" w:rsidRPr="00BA0DA4" w:rsidRDefault="006A4349">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F21DA" w14:textId="77777777" w:rsidR="002D4713" w:rsidRDefault="002D4713">
      <w:r>
        <w:separator/>
      </w:r>
    </w:p>
  </w:footnote>
  <w:footnote w:type="continuationSeparator" w:id="0">
    <w:p w14:paraId="746CBB3E" w14:textId="77777777" w:rsidR="002D4713" w:rsidRDefault="002D4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4CEA9C94" w:rsidR="006A4349" w:rsidRDefault="006A4349" w:rsidP="00A525F0">
    <w:pPr>
      <w:pStyle w:val="Header"/>
      <w:tabs>
        <w:tab w:val="clear" w:pos="6480"/>
        <w:tab w:val="center" w:pos="4680"/>
        <w:tab w:val="right" w:pos="9781"/>
      </w:tabs>
    </w:pPr>
    <w:r>
      <w:t>October 2021</w:t>
    </w:r>
    <w:r>
      <w:tab/>
    </w:r>
    <w:r>
      <w:tab/>
      <w:t xml:space="preserve">  </w:t>
    </w:r>
    <w:r w:rsidR="002D4713">
      <w:fldChar w:fldCharType="begin"/>
    </w:r>
    <w:r w:rsidR="002D4713">
      <w:instrText xml:space="preserve"> TITLE  \* MERGEFORMAT </w:instrText>
    </w:r>
    <w:r w:rsidR="002D4713">
      <w:fldChar w:fldCharType="separate"/>
    </w:r>
    <w:r>
      <w:t>doc.: IEEE 802.11-21/1617r</w:t>
    </w:r>
    <w:r w:rsidR="00B3722B">
      <w:t>4</w:t>
    </w:r>
    <w:r w:rsidR="002D471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24B1"/>
    <w:rsid w:val="002A2A9F"/>
    <w:rsid w:val="002A3ACC"/>
    <w:rsid w:val="002A4623"/>
    <w:rsid w:val="002A4FFB"/>
    <w:rsid w:val="002A5640"/>
    <w:rsid w:val="002A6A08"/>
    <w:rsid w:val="002A7050"/>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1DC2"/>
    <w:rsid w:val="004B2083"/>
    <w:rsid w:val="004B2569"/>
    <w:rsid w:val="004B268C"/>
    <w:rsid w:val="004B3AC2"/>
    <w:rsid w:val="004B3EF5"/>
    <w:rsid w:val="004B4D66"/>
    <w:rsid w:val="004B5F1F"/>
    <w:rsid w:val="004B6146"/>
    <w:rsid w:val="004B62A7"/>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44E0"/>
    <w:rsid w:val="007C510F"/>
    <w:rsid w:val="007C5DF7"/>
    <w:rsid w:val="007C61AB"/>
    <w:rsid w:val="007D13D6"/>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454"/>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377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6C06"/>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0773"/>
    <w:rsid w:val="00F412B8"/>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8.emf"/><Relationship Id="rId107" Type="http://schemas.openxmlformats.org/officeDocument/2006/relationships/image" Target="media/image9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2.emf"/><Relationship Id="rId123" Type="http://schemas.openxmlformats.org/officeDocument/2006/relationships/image" Target="media/image113.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comments" Target="comments.xml"/><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3.emf"/><Relationship Id="rId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AB268-B1E9-401C-98AF-FA5FD09A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21/1617r3</vt:lpstr>
    </vt:vector>
  </TitlesOfParts>
  <Company>Huawei Technologies</Company>
  <LinksUpToDate>false</LinksUpToDate>
  <CharactersWithSpaces>21937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21/1617r4</dc:title>
  <dc:subject>Comment Resolution for CID1014</dc:subject>
  <dc:creator>Edward Au</dc:creator>
  <cp:keywords>Submission</cp:keywords>
  <dc:description>Proposed resolution for REVme CC35 comments - Part 3</dc:description>
  <cp:lastModifiedBy>Edward Au</cp:lastModifiedBy>
  <cp:revision>18</cp:revision>
  <cp:lastPrinted>2011-03-31T18:31:00Z</cp:lastPrinted>
  <dcterms:created xsi:type="dcterms:W3CDTF">2021-10-22T15:13:00Z</dcterms:created>
  <dcterms:modified xsi:type="dcterms:W3CDTF">2021-10-25T13:30:00Z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