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64CEFEC" w:rsidR="00CA09B2" w:rsidRPr="00EC3A70" w:rsidRDefault="006641D3" w:rsidP="004628C1">
            <w:pPr>
              <w:pStyle w:val="T2"/>
              <w:rPr>
                <w:sz w:val="20"/>
                <w:szCs w:val="20"/>
              </w:rPr>
            </w:pPr>
            <w:r w:rsidRPr="00EC3A70">
              <w:rPr>
                <w:sz w:val="20"/>
                <w:szCs w:val="20"/>
              </w:rPr>
              <w:t xml:space="preserve">Proposed Resolution for some </w:t>
            </w:r>
            <w:r w:rsidR="00AF7B10">
              <w:rPr>
                <w:sz w:val="20"/>
                <w:szCs w:val="20"/>
              </w:rPr>
              <w:t>LB 255</w:t>
            </w:r>
            <w:r w:rsidRPr="00EC3A70">
              <w:rPr>
                <w:sz w:val="20"/>
                <w:szCs w:val="20"/>
              </w:rPr>
              <w:t xml:space="preserve"> CRs</w:t>
            </w:r>
          </w:p>
        </w:tc>
      </w:tr>
      <w:tr w:rsidR="00CA09B2" w:rsidRPr="00EC3A70" w14:paraId="15997B99" w14:textId="77777777" w:rsidTr="00C957FC">
        <w:trPr>
          <w:trHeight w:val="359"/>
          <w:jc w:val="center"/>
        </w:trPr>
        <w:tc>
          <w:tcPr>
            <w:tcW w:w="9576" w:type="dxa"/>
            <w:gridSpan w:val="5"/>
            <w:vAlign w:val="center"/>
          </w:tcPr>
          <w:p w14:paraId="014A2C7E" w14:textId="7A2B3B8D"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AF7B10">
              <w:rPr>
                <w:b w:val="0"/>
                <w:sz w:val="20"/>
                <w:szCs w:val="20"/>
              </w:rPr>
              <w:t>September 10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893B16">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1D422CFF" w14:textId="5FA5AA2D" w:rsidR="00EB6E65" w:rsidRPr="00EC3A70" w:rsidRDefault="007A0827" w:rsidP="00B254C8">
      <w:pPr>
        <w:rPr>
          <w:szCs w:val="20"/>
        </w:rPr>
      </w:pPr>
      <w:r w:rsidRPr="00EC3A70">
        <w:rPr>
          <w:szCs w:val="20"/>
        </w:rPr>
        <w:t xml:space="preserve">This document </w:t>
      </w:r>
      <w:r w:rsidR="009659FF" w:rsidRPr="00EC3A70">
        <w:rPr>
          <w:szCs w:val="20"/>
        </w:rPr>
        <w:t>contains</w:t>
      </w:r>
      <w:r w:rsidR="00D057FE" w:rsidRPr="00EC3A70">
        <w:rPr>
          <w:szCs w:val="20"/>
        </w:rPr>
        <w:t xml:space="preserve"> </w:t>
      </w:r>
      <w:r w:rsidR="00772365" w:rsidRPr="00EC3A70">
        <w:rPr>
          <w:szCs w:val="20"/>
        </w:rPr>
        <w:t xml:space="preserve">proposed </w:t>
      </w:r>
      <w:r w:rsidR="007F53DD" w:rsidRPr="00EC3A70">
        <w:rPr>
          <w:szCs w:val="20"/>
        </w:rPr>
        <w:t xml:space="preserve">resolutions for </w:t>
      </w:r>
      <w:r w:rsidR="00B87DBC" w:rsidRPr="00EC3A70">
        <w:rPr>
          <w:szCs w:val="20"/>
        </w:rPr>
        <w:t xml:space="preserve">following </w:t>
      </w:r>
      <w:r w:rsidR="00702988" w:rsidRPr="00EC3A70">
        <w:rPr>
          <w:szCs w:val="20"/>
        </w:rPr>
        <w:t>CID</w:t>
      </w:r>
      <w:r w:rsidR="00AF7B10">
        <w:rPr>
          <w:szCs w:val="20"/>
        </w:rPr>
        <w:t xml:space="preserve"> 6028 </w:t>
      </w:r>
      <w:r w:rsidR="00772365" w:rsidRPr="00EC3A70">
        <w:rPr>
          <w:szCs w:val="20"/>
        </w:rPr>
        <w:t xml:space="preserve">against </w:t>
      </w:r>
      <w:r w:rsidR="006641D3" w:rsidRPr="00EC3A70">
        <w:rPr>
          <w:szCs w:val="20"/>
        </w:rPr>
        <w:t xml:space="preserve">TGaz Draft </w:t>
      </w:r>
      <w:r w:rsidR="00AF7B10">
        <w:rPr>
          <w:szCs w:val="20"/>
        </w:rPr>
        <w:t>4</w:t>
      </w:r>
      <w:r w:rsidR="006641D3" w:rsidRPr="00EC3A70">
        <w:rPr>
          <w:szCs w:val="20"/>
        </w:rPr>
        <w:t>.0 from LB</w:t>
      </w:r>
      <w:r w:rsidR="00AF7B10">
        <w:rPr>
          <w:szCs w:val="20"/>
        </w:rPr>
        <w:t xml:space="preserve"> 255</w:t>
      </w:r>
    </w:p>
    <w:p w14:paraId="387E0367" w14:textId="55DDC6C6" w:rsidR="006641D3" w:rsidRPr="00EC3A70" w:rsidRDefault="00EC3A70" w:rsidP="00EC3A70">
      <w:pPr>
        <w:tabs>
          <w:tab w:val="left" w:pos="2238"/>
        </w:tabs>
        <w:rPr>
          <w:szCs w:val="20"/>
        </w:rPr>
      </w:pPr>
      <w:r w:rsidRPr="00EC3A70">
        <w:rPr>
          <w:szCs w:val="20"/>
        </w:rPr>
        <w:tab/>
      </w:r>
    </w:p>
    <w:p w14:paraId="32833ACB" w14:textId="5FA5DC13" w:rsidR="00EB6E65" w:rsidRPr="00EC3A70" w:rsidRDefault="00EB6E65" w:rsidP="00B254C8">
      <w:pPr>
        <w:rPr>
          <w:szCs w:val="20"/>
        </w:rPr>
      </w:pPr>
      <w:r w:rsidRPr="00EC3A70">
        <w:rPr>
          <w:szCs w:val="20"/>
        </w:rPr>
        <w:t>The baseline</w:t>
      </w:r>
      <w:r w:rsidR="006641D3" w:rsidRPr="00EC3A70">
        <w:rPr>
          <w:szCs w:val="20"/>
        </w:rPr>
        <w:t xml:space="preserve"> documents</w:t>
      </w:r>
      <w:r w:rsidRPr="00EC3A70">
        <w:rPr>
          <w:szCs w:val="20"/>
        </w:rPr>
        <w:t xml:space="preserve"> for </w:t>
      </w:r>
      <w:r w:rsidR="006641D3" w:rsidRPr="00EC3A70">
        <w:rPr>
          <w:szCs w:val="20"/>
        </w:rPr>
        <w:t xml:space="preserve">changes in </w:t>
      </w:r>
      <w:r w:rsidRPr="00EC3A70">
        <w:rPr>
          <w:szCs w:val="20"/>
        </w:rPr>
        <w:t xml:space="preserve">this document </w:t>
      </w:r>
      <w:r w:rsidR="006641D3" w:rsidRPr="00EC3A70">
        <w:rPr>
          <w:szCs w:val="20"/>
        </w:rPr>
        <w:t xml:space="preserve">are TGaz Draft </w:t>
      </w:r>
      <w:r w:rsidR="00AF7B10">
        <w:rPr>
          <w:szCs w:val="20"/>
        </w:rPr>
        <w:t>4</w:t>
      </w:r>
      <w:r w:rsidR="006641D3" w:rsidRPr="00EC3A70">
        <w:rPr>
          <w:szCs w:val="20"/>
        </w:rPr>
        <w:t>.0 and</w:t>
      </w:r>
      <w:r w:rsidRPr="00EC3A70">
        <w:rPr>
          <w:szCs w:val="20"/>
        </w:rPr>
        <w:t xml:space="preserve"> </w:t>
      </w:r>
      <w:r w:rsidR="00592FB3" w:rsidRPr="00EC3A70">
        <w:rPr>
          <w:szCs w:val="20"/>
        </w:rPr>
        <w:t>Draft P802.11REVm</w:t>
      </w:r>
      <w:r w:rsidR="00AF7B10">
        <w:rPr>
          <w:szCs w:val="20"/>
        </w:rPr>
        <w:t>e</w:t>
      </w:r>
      <w:r w:rsidR="00592FB3" w:rsidRPr="00EC3A70">
        <w:rPr>
          <w:szCs w:val="20"/>
        </w:rPr>
        <w:t xml:space="preserve"> D</w:t>
      </w:r>
      <w:r w:rsidR="00AF7B10">
        <w:rPr>
          <w:szCs w:val="20"/>
        </w:rPr>
        <w:t>0.2</w:t>
      </w:r>
      <w:r w:rsidR="00EC3A70">
        <w:rPr>
          <w:szCs w:val="20"/>
        </w:rPr>
        <w:t xml:space="preserve"> The text in </w:t>
      </w:r>
      <w:r w:rsidR="00EC3A70" w:rsidRPr="00EF2161">
        <w:rPr>
          <w:color w:val="C00000"/>
          <w:szCs w:val="20"/>
        </w:rPr>
        <w:t>red</w:t>
      </w:r>
      <w:r w:rsidR="00EF2161">
        <w:rPr>
          <w:color w:val="C00000"/>
          <w:szCs w:val="20"/>
        </w:rPr>
        <w:t xml:space="preserve"> </w:t>
      </w:r>
      <w:r w:rsidR="00EF2161" w:rsidRPr="00EF2161">
        <w:rPr>
          <w:color w:val="000000" w:themeColor="text1"/>
          <w:szCs w:val="20"/>
        </w:rPr>
        <w:t>are</w:t>
      </w:r>
      <w:r w:rsidR="00EF2161">
        <w:rPr>
          <w:color w:val="000000" w:themeColor="text1"/>
          <w:szCs w:val="20"/>
        </w:rPr>
        <w:t xml:space="preserve"> the</w:t>
      </w:r>
      <w:r w:rsidR="00EF2161" w:rsidRPr="00EF2161">
        <w:rPr>
          <w:color w:val="000000" w:themeColor="text1"/>
          <w:szCs w:val="20"/>
        </w:rPr>
        <w:t xml:space="preserve"> </w:t>
      </w:r>
      <w:r w:rsidR="00EF2161">
        <w:rPr>
          <w:color w:val="C00000"/>
          <w:szCs w:val="20"/>
        </w:rPr>
        <w:t>instructions to the editor.</w:t>
      </w:r>
    </w:p>
    <w:p w14:paraId="2417934E" w14:textId="77777777" w:rsidR="00D32A1F" w:rsidRPr="00EC3A70" w:rsidRDefault="007A0827" w:rsidP="00B254C8">
      <w:pPr>
        <w:rPr>
          <w:szCs w:val="20"/>
        </w:rPr>
      </w:pPr>
      <w:r w:rsidRPr="00EC3A70">
        <w:rPr>
          <w:b/>
          <w:szCs w:val="20"/>
        </w:rPr>
        <w:br w:type="page"/>
      </w:r>
    </w:p>
    <w:p w14:paraId="6031B1E0" w14:textId="7F78503B" w:rsidR="0033741E" w:rsidRPr="006641D3" w:rsidRDefault="0033741E" w:rsidP="00B254C8">
      <w:pPr>
        <w:rPr>
          <w:sz w:val="16"/>
          <w:szCs w:val="16"/>
        </w:rPr>
      </w:pPr>
    </w:p>
    <w:p w14:paraId="45AADBB9" w14:textId="46BC1E73" w:rsidR="001F4FA0" w:rsidRPr="006641D3" w:rsidRDefault="001F4FA0" w:rsidP="00B254C8">
      <w:pPr>
        <w:rPr>
          <w:sz w:val="16"/>
          <w:szCs w:val="16"/>
        </w:rPr>
      </w:pPr>
    </w:p>
    <w:p w14:paraId="39E8FE3D" w14:textId="3A6E498B" w:rsidR="001F4FA0" w:rsidRPr="006641D3" w:rsidRDefault="001F4FA0" w:rsidP="00B254C8">
      <w:pPr>
        <w:rPr>
          <w:sz w:val="16"/>
          <w:szCs w:val="16"/>
        </w:rPr>
      </w:pPr>
    </w:p>
    <w:tbl>
      <w:tblPr>
        <w:tblW w:w="8284" w:type="dxa"/>
        <w:tblLook w:val="04A0" w:firstRow="1" w:lastRow="0" w:firstColumn="1" w:lastColumn="0" w:noHBand="0" w:noVBand="1"/>
      </w:tblPr>
      <w:tblGrid>
        <w:gridCol w:w="663"/>
        <w:gridCol w:w="994"/>
        <w:gridCol w:w="2374"/>
        <w:gridCol w:w="2070"/>
        <w:gridCol w:w="2183"/>
      </w:tblGrid>
      <w:tr w:rsidR="00AF7B10" w:rsidRPr="006641D3" w14:paraId="1DD6B62B" w14:textId="77777777" w:rsidTr="00AF7B10">
        <w:trPr>
          <w:trHeight w:val="425"/>
          <w:tblHeader/>
        </w:trPr>
        <w:tc>
          <w:tcPr>
            <w:tcW w:w="663" w:type="dxa"/>
            <w:tcBorders>
              <w:top w:val="single" w:sz="4" w:space="0" w:color="auto"/>
              <w:left w:val="single" w:sz="4" w:space="0" w:color="auto"/>
              <w:bottom w:val="single" w:sz="4" w:space="0" w:color="auto"/>
              <w:right w:val="single" w:sz="4" w:space="0" w:color="auto"/>
            </w:tcBorders>
            <w:shd w:val="clear" w:color="auto" w:fill="auto"/>
          </w:tcPr>
          <w:p w14:paraId="42131882" w14:textId="668A9D81" w:rsidR="00AF7B10" w:rsidRPr="006641D3" w:rsidRDefault="00AF7B10" w:rsidP="006641D3">
            <w:pPr>
              <w:jc w:val="right"/>
              <w:rPr>
                <w:color w:val="000000"/>
                <w:sz w:val="16"/>
                <w:szCs w:val="16"/>
              </w:rPr>
            </w:pPr>
            <w:r>
              <w:rPr>
                <w:color w:val="000000"/>
                <w:sz w:val="16"/>
                <w:szCs w:val="16"/>
              </w:rPr>
              <w:t>CID</w:t>
            </w:r>
          </w:p>
        </w:tc>
        <w:tc>
          <w:tcPr>
            <w:tcW w:w="994" w:type="dxa"/>
            <w:tcBorders>
              <w:top w:val="single" w:sz="4" w:space="0" w:color="auto"/>
              <w:left w:val="nil"/>
              <w:bottom w:val="single" w:sz="4" w:space="0" w:color="auto"/>
              <w:right w:val="single" w:sz="4" w:space="0" w:color="auto"/>
            </w:tcBorders>
            <w:shd w:val="clear" w:color="auto" w:fill="auto"/>
          </w:tcPr>
          <w:p w14:paraId="00A8AF24" w14:textId="77777777" w:rsidR="00AF7B10" w:rsidRDefault="00AF7B10" w:rsidP="006641D3">
            <w:pPr>
              <w:jc w:val="right"/>
              <w:rPr>
                <w:color w:val="000000"/>
                <w:sz w:val="16"/>
                <w:szCs w:val="16"/>
              </w:rPr>
            </w:pPr>
            <w:r>
              <w:rPr>
                <w:color w:val="000000"/>
                <w:sz w:val="16"/>
                <w:szCs w:val="16"/>
              </w:rPr>
              <w:t>Page</w:t>
            </w:r>
          </w:p>
          <w:p w14:paraId="71A001AC" w14:textId="22037BFE" w:rsidR="00AF7B10" w:rsidRPr="006641D3" w:rsidRDefault="00AF7B10" w:rsidP="006641D3">
            <w:pPr>
              <w:jc w:val="right"/>
              <w:rPr>
                <w:color w:val="000000"/>
                <w:sz w:val="16"/>
                <w:szCs w:val="16"/>
              </w:rPr>
            </w:pPr>
            <w:r>
              <w:rPr>
                <w:color w:val="000000"/>
                <w:sz w:val="16"/>
                <w:szCs w:val="16"/>
              </w:rPr>
              <w:t>Clause</w:t>
            </w:r>
          </w:p>
        </w:tc>
        <w:tc>
          <w:tcPr>
            <w:tcW w:w="2374" w:type="dxa"/>
            <w:tcBorders>
              <w:top w:val="single" w:sz="4" w:space="0" w:color="auto"/>
              <w:left w:val="nil"/>
              <w:bottom w:val="single" w:sz="4" w:space="0" w:color="auto"/>
              <w:right w:val="single" w:sz="4" w:space="0" w:color="auto"/>
            </w:tcBorders>
            <w:shd w:val="clear" w:color="auto" w:fill="auto"/>
          </w:tcPr>
          <w:p w14:paraId="343BE5DB" w14:textId="36C0D9D7" w:rsidR="00AF7B10" w:rsidRPr="006641D3" w:rsidRDefault="00AF7B10" w:rsidP="006641D3">
            <w:pPr>
              <w:rPr>
                <w:color w:val="000000"/>
                <w:sz w:val="16"/>
                <w:szCs w:val="16"/>
              </w:rPr>
            </w:pPr>
            <w:r>
              <w:rPr>
                <w:color w:val="000000"/>
                <w:sz w:val="16"/>
                <w:szCs w:val="16"/>
              </w:rPr>
              <w:t>Comment</w:t>
            </w:r>
          </w:p>
        </w:tc>
        <w:tc>
          <w:tcPr>
            <w:tcW w:w="2070" w:type="dxa"/>
            <w:tcBorders>
              <w:top w:val="single" w:sz="4" w:space="0" w:color="auto"/>
              <w:left w:val="nil"/>
              <w:bottom w:val="single" w:sz="4" w:space="0" w:color="auto"/>
              <w:right w:val="single" w:sz="4" w:space="0" w:color="auto"/>
            </w:tcBorders>
            <w:shd w:val="clear" w:color="auto" w:fill="auto"/>
          </w:tcPr>
          <w:p w14:paraId="78EDC444" w14:textId="028B67F3" w:rsidR="00AF7B10" w:rsidRPr="006641D3" w:rsidRDefault="00AF7B10" w:rsidP="006641D3">
            <w:pPr>
              <w:rPr>
                <w:color w:val="000000"/>
                <w:sz w:val="16"/>
                <w:szCs w:val="16"/>
              </w:rPr>
            </w:pPr>
            <w:r>
              <w:rPr>
                <w:color w:val="000000"/>
                <w:sz w:val="16"/>
                <w:szCs w:val="16"/>
              </w:rPr>
              <w:t>Proposed Change</w:t>
            </w:r>
          </w:p>
        </w:tc>
        <w:tc>
          <w:tcPr>
            <w:tcW w:w="2183" w:type="dxa"/>
            <w:tcBorders>
              <w:top w:val="single" w:sz="4" w:space="0" w:color="auto"/>
              <w:left w:val="nil"/>
              <w:bottom w:val="single" w:sz="4" w:space="0" w:color="auto"/>
              <w:right w:val="single" w:sz="4" w:space="0" w:color="auto"/>
            </w:tcBorders>
            <w:shd w:val="clear" w:color="auto" w:fill="auto"/>
          </w:tcPr>
          <w:p w14:paraId="548F705E" w14:textId="45F42F15" w:rsidR="00AF7B10" w:rsidRPr="006641D3" w:rsidRDefault="00AF7B10" w:rsidP="006641D3">
            <w:pPr>
              <w:rPr>
                <w:color w:val="000000"/>
                <w:sz w:val="16"/>
                <w:szCs w:val="16"/>
              </w:rPr>
            </w:pPr>
            <w:r>
              <w:rPr>
                <w:color w:val="000000"/>
                <w:sz w:val="16"/>
                <w:szCs w:val="16"/>
              </w:rPr>
              <w:t>Resolution</w:t>
            </w:r>
          </w:p>
        </w:tc>
      </w:tr>
      <w:tr w:rsidR="00AF7B10" w:rsidRPr="006641D3" w14:paraId="7261CF85" w14:textId="77777777" w:rsidTr="00AF7B10">
        <w:trPr>
          <w:trHeight w:val="16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345C915F" w14:textId="20F5ECDD" w:rsidR="00AF7B10" w:rsidRPr="006641D3" w:rsidRDefault="00AF7B10" w:rsidP="006641D3">
            <w:pPr>
              <w:jc w:val="right"/>
              <w:rPr>
                <w:color w:val="000000"/>
                <w:sz w:val="16"/>
                <w:szCs w:val="16"/>
              </w:rPr>
            </w:pPr>
            <w:r>
              <w:rPr>
                <w:color w:val="000000"/>
                <w:sz w:val="16"/>
                <w:szCs w:val="16"/>
              </w:rPr>
              <w:t>6028</w:t>
            </w:r>
          </w:p>
        </w:tc>
        <w:tc>
          <w:tcPr>
            <w:tcW w:w="994" w:type="dxa"/>
            <w:tcBorders>
              <w:top w:val="single" w:sz="4" w:space="0" w:color="auto"/>
              <w:left w:val="nil"/>
              <w:bottom w:val="single" w:sz="4" w:space="0" w:color="auto"/>
              <w:right w:val="single" w:sz="4" w:space="0" w:color="auto"/>
            </w:tcBorders>
            <w:shd w:val="clear" w:color="auto" w:fill="auto"/>
            <w:hideMark/>
          </w:tcPr>
          <w:p w14:paraId="7F1A5C59" w14:textId="77777777" w:rsidR="00AF7B10" w:rsidRDefault="00AF7B10" w:rsidP="00AF7B10">
            <w:pPr>
              <w:jc w:val="center"/>
              <w:rPr>
                <w:color w:val="000000"/>
                <w:sz w:val="16"/>
                <w:szCs w:val="16"/>
              </w:rPr>
            </w:pPr>
            <w:r>
              <w:rPr>
                <w:color w:val="000000"/>
                <w:sz w:val="16"/>
                <w:szCs w:val="16"/>
              </w:rPr>
              <w:t>113.31</w:t>
            </w:r>
          </w:p>
          <w:p w14:paraId="5E41AB72" w14:textId="1E6E0DF6" w:rsidR="00AF7B10" w:rsidRPr="006641D3" w:rsidRDefault="00AF7B10" w:rsidP="00AF7B10">
            <w:pPr>
              <w:jc w:val="center"/>
              <w:rPr>
                <w:color w:val="000000"/>
                <w:sz w:val="16"/>
                <w:szCs w:val="16"/>
              </w:rPr>
            </w:pPr>
            <w:r>
              <w:rPr>
                <w:color w:val="000000"/>
                <w:sz w:val="16"/>
                <w:szCs w:val="16"/>
              </w:rPr>
              <w:t xml:space="preserve">11.3.4     </w:t>
            </w:r>
          </w:p>
        </w:tc>
        <w:tc>
          <w:tcPr>
            <w:tcW w:w="2374" w:type="dxa"/>
            <w:tcBorders>
              <w:top w:val="single" w:sz="4" w:space="0" w:color="auto"/>
              <w:left w:val="nil"/>
              <w:bottom w:val="single" w:sz="4" w:space="0" w:color="auto"/>
              <w:right w:val="single" w:sz="4" w:space="0" w:color="auto"/>
            </w:tcBorders>
            <w:shd w:val="clear" w:color="auto" w:fill="auto"/>
            <w:hideMark/>
          </w:tcPr>
          <w:p w14:paraId="4F71A28A" w14:textId="3C8A21B6" w:rsidR="00AF7B10" w:rsidRPr="006641D3" w:rsidRDefault="00AF7B10" w:rsidP="006641D3">
            <w:pPr>
              <w:rPr>
                <w:color w:val="000000"/>
                <w:sz w:val="16"/>
                <w:szCs w:val="16"/>
              </w:rPr>
            </w:pPr>
            <w:r w:rsidRPr="00AF7B10">
              <w:rPr>
                <w:color w:val="000000"/>
                <w:sz w:val="16"/>
                <w:szCs w:val="16"/>
              </w:rPr>
              <w:t>Follow-up to CID 5361.  The draft now states "PASN authentication is disallowed in states other than State 1."  However, a DMG STA that does not perform IEEE Std 802.11 authentication will initiate in State 2 (and thus, will never be in State 1).  So, such a STA can never do PASN authentication.</w:t>
            </w:r>
          </w:p>
        </w:tc>
        <w:tc>
          <w:tcPr>
            <w:tcW w:w="2070" w:type="dxa"/>
            <w:tcBorders>
              <w:top w:val="single" w:sz="4" w:space="0" w:color="auto"/>
              <w:left w:val="nil"/>
              <w:bottom w:val="single" w:sz="4" w:space="0" w:color="auto"/>
              <w:right w:val="single" w:sz="4" w:space="0" w:color="auto"/>
            </w:tcBorders>
            <w:shd w:val="clear" w:color="auto" w:fill="auto"/>
            <w:hideMark/>
          </w:tcPr>
          <w:p w14:paraId="5575680A" w14:textId="4C2E85B8" w:rsidR="00AF7B10" w:rsidRPr="006641D3" w:rsidRDefault="00AF7B10" w:rsidP="006641D3">
            <w:pPr>
              <w:rPr>
                <w:color w:val="000000"/>
                <w:sz w:val="16"/>
                <w:szCs w:val="16"/>
              </w:rPr>
            </w:pPr>
            <w:r w:rsidRPr="00AF7B10">
              <w:rPr>
                <w:color w:val="000000"/>
                <w:sz w:val="16"/>
                <w:szCs w:val="16"/>
              </w:rPr>
              <w:t xml:space="preserve">Correct the statement at the cited location.  Add transition(s) for a DMG STA that does not perform IEEE 802.11 authentication to transition from State 2 to a PASN Authenticated state, and then directly to State 3 through (Re)Association.  (And, add text in 12.12 to describe the PBSS/PCP case.)  </w:t>
            </w:r>
            <w:proofErr w:type="gramStart"/>
            <w:r w:rsidRPr="00AF7B10">
              <w:rPr>
                <w:color w:val="000000"/>
                <w:sz w:val="16"/>
                <w:szCs w:val="16"/>
              </w:rPr>
              <w:t>Or,</w:t>
            </w:r>
            <w:proofErr w:type="gramEnd"/>
            <w:r w:rsidRPr="00AF7B10">
              <w:rPr>
                <w:color w:val="000000"/>
                <w:sz w:val="16"/>
                <w:szCs w:val="16"/>
              </w:rPr>
              <w:t xml:space="preserve"> clarify in the text that a DMG STA that does not perform IEEE 802.11 authentication also shall not perform PASN authentication.</w:t>
            </w:r>
          </w:p>
        </w:tc>
        <w:tc>
          <w:tcPr>
            <w:tcW w:w="2183" w:type="dxa"/>
            <w:tcBorders>
              <w:top w:val="single" w:sz="4" w:space="0" w:color="auto"/>
              <w:left w:val="nil"/>
              <w:bottom w:val="single" w:sz="4" w:space="0" w:color="auto"/>
              <w:right w:val="single" w:sz="4" w:space="0" w:color="auto"/>
            </w:tcBorders>
            <w:shd w:val="clear" w:color="auto" w:fill="auto"/>
            <w:hideMark/>
          </w:tcPr>
          <w:p w14:paraId="47D85B91" w14:textId="1B7416C3" w:rsidR="00DA77C0" w:rsidRPr="00DA77C0" w:rsidRDefault="00DA77C0" w:rsidP="00DA77C0">
            <w:pPr>
              <w:pStyle w:val="NormalWeb"/>
              <w:shd w:val="clear" w:color="auto" w:fill="FFFFFF"/>
              <w:rPr>
                <w:color w:val="C00000"/>
                <w:szCs w:val="20"/>
              </w:rPr>
            </w:pPr>
            <w:r w:rsidRPr="00DA77C0">
              <w:rPr>
                <w:color w:val="000000" w:themeColor="text1"/>
                <w:szCs w:val="20"/>
              </w:rPr>
              <w:t>Resolution:</w:t>
            </w:r>
            <w:r w:rsidRPr="00DA77C0">
              <w:rPr>
                <w:color w:val="C00000"/>
                <w:szCs w:val="20"/>
              </w:rPr>
              <w:t xml:space="preserve"> Reject</w:t>
            </w:r>
          </w:p>
          <w:p w14:paraId="523DA65C" w14:textId="77777777" w:rsidR="00DA77C0" w:rsidRPr="00DA77C0" w:rsidRDefault="00DA77C0" w:rsidP="00DA77C0">
            <w:pPr>
              <w:pStyle w:val="NormalWeb"/>
              <w:shd w:val="clear" w:color="auto" w:fill="FFFFFF"/>
              <w:rPr>
                <w:color w:val="000000"/>
                <w:sz w:val="16"/>
                <w:szCs w:val="16"/>
              </w:rPr>
            </w:pPr>
            <w:r w:rsidRPr="00DA77C0">
              <w:rPr>
                <w:color w:val="000000"/>
                <w:sz w:val="16"/>
                <w:szCs w:val="16"/>
              </w:rPr>
              <w:t> </w:t>
            </w:r>
          </w:p>
          <w:p w14:paraId="22240BB6" w14:textId="5D02FE23" w:rsidR="00DA77C0" w:rsidRPr="00DA77C0" w:rsidRDefault="00DA77C0" w:rsidP="00DA77C0">
            <w:pPr>
              <w:pStyle w:val="NormalWeb"/>
              <w:shd w:val="clear" w:color="auto" w:fill="FFFFFF"/>
              <w:rPr>
                <w:color w:val="000000"/>
                <w:sz w:val="16"/>
                <w:szCs w:val="16"/>
              </w:rPr>
            </w:pPr>
            <w:r w:rsidRPr="00DA77C0">
              <w:rPr>
                <w:color w:val="000000"/>
                <w:sz w:val="16"/>
                <w:szCs w:val="16"/>
              </w:rPr>
              <w:t>It is already stated in TGaz D4.0 § 4.5.4.2 that PASN is one of the six IEEE 802.11 std authentication methods, and thus, clearly, DMG STAs that do not perform IEEE 802.11 authentication</w:t>
            </w:r>
            <w:r>
              <w:rPr>
                <w:color w:val="000000"/>
                <w:sz w:val="16"/>
                <w:szCs w:val="16"/>
              </w:rPr>
              <w:t xml:space="preserve"> </w:t>
            </w:r>
            <w:r w:rsidRPr="00DA77C0">
              <w:rPr>
                <w:color w:val="000000"/>
                <w:sz w:val="16"/>
                <w:szCs w:val="16"/>
              </w:rPr>
              <w:t>*cannot* perform PASN authentication.</w:t>
            </w:r>
          </w:p>
          <w:p w14:paraId="5BE21B5C" w14:textId="77777777" w:rsidR="00DA77C0" w:rsidRPr="00DA77C0" w:rsidRDefault="00DA77C0" w:rsidP="00DA77C0">
            <w:pPr>
              <w:rPr>
                <w:color w:val="000000"/>
                <w:sz w:val="16"/>
                <w:szCs w:val="16"/>
              </w:rPr>
            </w:pPr>
          </w:p>
          <w:p w14:paraId="142534A8" w14:textId="2FCCAFD3" w:rsidR="00AF7B10" w:rsidRPr="006641D3" w:rsidRDefault="00AF7B10" w:rsidP="006641D3">
            <w:pPr>
              <w:rPr>
                <w:color w:val="000000"/>
                <w:sz w:val="16"/>
                <w:szCs w:val="16"/>
              </w:rPr>
            </w:pPr>
          </w:p>
        </w:tc>
      </w:tr>
    </w:tbl>
    <w:p w14:paraId="18AAC5AF" w14:textId="3FA8003F" w:rsidR="004E0917" w:rsidRDefault="004E0917" w:rsidP="009508AD">
      <w:pPr>
        <w:shd w:val="clear" w:color="auto" w:fill="FFFFFF"/>
        <w:rPr>
          <w:color w:val="222222"/>
          <w:sz w:val="16"/>
          <w:szCs w:val="16"/>
        </w:rPr>
      </w:pPr>
    </w:p>
    <w:p w14:paraId="2B1E5238" w14:textId="4545064F" w:rsidR="001C2748" w:rsidRDefault="001C2748" w:rsidP="009508AD">
      <w:pPr>
        <w:shd w:val="clear" w:color="auto" w:fill="FFFFFF"/>
        <w:rPr>
          <w:color w:val="222222"/>
          <w:sz w:val="16"/>
          <w:szCs w:val="16"/>
        </w:rPr>
      </w:pPr>
    </w:p>
    <w:p w14:paraId="040FE7FC" w14:textId="71435582" w:rsidR="001C2748" w:rsidRDefault="001C2748" w:rsidP="009508AD">
      <w:pPr>
        <w:shd w:val="clear" w:color="auto" w:fill="FFFFFF"/>
        <w:rPr>
          <w:color w:val="222222"/>
          <w:sz w:val="16"/>
          <w:szCs w:val="16"/>
        </w:rPr>
      </w:pPr>
    </w:p>
    <w:p w14:paraId="3F344773" w14:textId="6436997E" w:rsidR="001C2748" w:rsidRPr="001C2748" w:rsidRDefault="001C2748" w:rsidP="009508AD">
      <w:pPr>
        <w:shd w:val="clear" w:color="auto" w:fill="FFFFFF"/>
        <w:rPr>
          <w:b/>
          <w:bCs/>
          <w:color w:val="222222"/>
          <w:szCs w:val="20"/>
        </w:rPr>
      </w:pPr>
      <w:r w:rsidRPr="001C2748">
        <w:rPr>
          <w:b/>
          <w:bCs/>
          <w:color w:val="222222"/>
          <w:szCs w:val="20"/>
        </w:rPr>
        <w:t xml:space="preserve">CID </w:t>
      </w:r>
      <w:r w:rsidR="00AF7B10">
        <w:rPr>
          <w:b/>
          <w:bCs/>
          <w:color w:val="222222"/>
          <w:szCs w:val="20"/>
        </w:rPr>
        <w:t>6028</w:t>
      </w:r>
    </w:p>
    <w:p w14:paraId="409E6709" w14:textId="0C96FC48" w:rsidR="001C2748" w:rsidRPr="001C2748" w:rsidRDefault="001C2748" w:rsidP="009508AD">
      <w:pPr>
        <w:shd w:val="clear" w:color="auto" w:fill="FFFFFF"/>
        <w:rPr>
          <w:color w:val="222222"/>
          <w:szCs w:val="20"/>
        </w:rPr>
      </w:pPr>
    </w:p>
    <w:p w14:paraId="17591F84" w14:textId="549C032C" w:rsidR="001C2748" w:rsidRPr="00AF7B10" w:rsidRDefault="001C2748" w:rsidP="009508AD">
      <w:pPr>
        <w:shd w:val="clear" w:color="auto" w:fill="FFFFFF"/>
        <w:rPr>
          <w:b/>
          <w:bCs/>
          <w:color w:val="222222"/>
          <w:szCs w:val="20"/>
        </w:rPr>
      </w:pPr>
      <w:r w:rsidRPr="00AF7B10">
        <w:rPr>
          <w:b/>
          <w:bCs/>
          <w:color w:val="222222"/>
          <w:szCs w:val="20"/>
        </w:rPr>
        <w:t>Comment:</w:t>
      </w:r>
    </w:p>
    <w:p w14:paraId="00328921" w14:textId="77777777" w:rsidR="001C2748" w:rsidRPr="001C2748" w:rsidRDefault="001C2748" w:rsidP="009508AD">
      <w:pPr>
        <w:shd w:val="clear" w:color="auto" w:fill="FFFFFF"/>
        <w:rPr>
          <w:color w:val="222222"/>
          <w:szCs w:val="20"/>
        </w:rPr>
      </w:pPr>
    </w:p>
    <w:p w14:paraId="3A0C691B" w14:textId="10178F79" w:rsidR="001C2748" w:rsidRPr="00AF7B10" w:rsidRDefault="00AF7B10" w:rsidP="001C2748">
      <w:pPr>
        <w:rPr>
          <w:color w:val="000000"/>
          <w:sz w:val="20"/>
          <w:szCs w:val="20"/>
        </w:rPr>
      </w:pPr>
      <w:r w:rsidRPr="00AF7B10">
        <w:rPr>
          <w:color w:val="000000"/>
          <w:sz w:val="20"/>
          <w:szCs w:val="20"/>
        </w:rPr>
        <w:t>Follow-up to CID 5361.  The draft now states "PASN authentication is disallowed in states other than State 1."  However, a DMG STA that does not perform IEEE Std 802.11 authentication will initiate in State 2 (and thus, will never be in State 1).  So, such a STA can never do PASN authentication.</w:t>
      </w:r>
    </w:p>
    <w:p w14:paraId="72E7DEE9" w14:textId="445F7533" w:rsidR="00AF7B10" w:rsidRDefault="00AF7B10" w:rsidP="001C2748">
      <w:pPr>
        <w:rPr>
          <w:color w:val="000000"/>
          <w:sz w:val="16"/>
          <w:szCs w:val="16"/>
        </w:rPr>
      </w:pPr>
    </w:p>
    <w:p w14:paraId="1D1FF661" w14:textId="77777777" w:rsidR="00AF7B10" w:rsidRPr="001C2748" w:rsidRDefault="00AF7B10" w:rsidP="001C2748">
      <w:pPr>
        <w:rPr>
          <w:color w:val="000000"/>
          <w:szCs w:val="20"/>
        </w:rPr>
      </w:pPr>
    </w:p>
    <w:p w14:paraId="5894F1CB" w14:textId="6E3B9A56" w:rsidR="001C2748" w:rsidRDefault="001C2748" w:rsidP="009508AD">
      <w:pPr>
        <w:shd w:val="clear" w:color="auto" w:fill="FFFFFF"/>
        <w:rPr>
          <w:b/>
          <w:bCs/>
          <w:color w:val="222222"/>
          <w:szCs w:val="20"/>
        </w:rPr>
      </w:pPr>
      <w:r w:rsidRPr="00AF7B10">
        <w:rPr>
          <w:b/>
          <w:bCs/>
          <w:color w:val="222222"/>
          <w:szCs w:val="20"/>
        </w:rPr>
        <w:t>Discussion:</w:t>
      </w:r>
    </w:p>
    <w:p w14:paraId="7F9CD0CC" w14:textId="3E03102E" w:rsidR="00AF7B10" w:rsidRDefault="00AF7B10" w:rsidP="009508AD">
      <w:pPr>
        <w:shd w:val="clear" w:color="auto" w:fill="FFFFFF"/>
        <w:rPr>
          <w:b/>
          <w:bCs/>
          <w:color w:val="222222"/>
          <w:szCs w:val="20"/>
        </w:rPr>
      </w:pPr>
    </w:p>
    <w:p w14:paraId="53E0803F" w14:textId="77777777" w:rsidR="00DA77C0" w:rsidRDefault="00AF7B10" w:rsidP="00AF7B10">
      <w:pPr>
        <w:shd w:val="clear" w:color="auto" w:fill="FFFFFF"/>
        <w:rPr>
          <w:color w:val="000000"/>
          <w:sz w:val="20"/>
          <w:szCs w:val="20"/>
        </w:rPr>
      </w:pPr>
      <w:r w:rsidRPr="00AF7B10">
        <w:rPr>
          <w:color w:val="000000"/>
          <w:sz w:val="20"/>
          <w:szCs w:val="20"/>
        </w:rPr>
        <w:t>In 11az D4.0</w:t>
      </w:r>
      <w:r w:rsidR="00DA77C0">
        <w:rPr>
          <w:color w:val="000000"/>
          <w:sz w:val="20"/>
          <w:szCs w:val="20"/>
        </w:rPr>
        <w:t xml:space="preserve">, </w:t>
      </w:r>
      <w:r w:rsidRPr="00AF7B10">
        <w:rPr>
          <w:color w:val="000000"/>
          <w:sz w:val="20"/>
          <w:szCs w:val="20"/>
        </w:rPr>
        <w:t>PASN was never intended to be used by DMG STAs that did not perform IEEE Std 802.11 authentication</w:t>
      </w:r>
      <w:r w:rsidR="00DA77C0">
        <w:rPr>
          <w:color w:val="000000"/>
          <w:sz w:val="20"/>
          <w:szCs w:val="20"/>
        </w:rPr>
        <w:t xml:space="preserve">. It was this way </w:t>
      </w:r>
      <w:r w:rsidRPr="00AF7B10">
        <w:rPr>
          <w:color w:val="000000"/>
          <w:sz w:val="20"/>
          <w:szCs w:val="20"/>
        </w:rPr>
        <w:t xml:space="preserve">since the introduction of PASN in TGaz D1.1. </w:t>
      </w:r>
    </w:p>
    <w:p w14:paraId="59FC7F02" w14:textId="77777777" w:rsidR="00DA77C0" w:rsidRDefault="00DA77C0" w:rsidP="00AF7B10">
      <w:pPr>
        <w:shd w:val="clear" w:color="auto" w:fill="FFFFFF"/>
        <w:rPr>
          <w:color w:val="000000"/>
          <w:sz w:val="20"/>
          <w:szCs w:val="20"/>
        </w:rPr>
      </w:pPr>
    </w:p>
    <w:p w14:paraId="5DBC46AB" w14:textId="66A4C3E8" w:rsidR="00AF7B10" w:rsidRPr="00AF7B10" w:rsidRDefault="00AF7B10" w:rsidP="00AF7B10">
      <w:pPr>
        <w:shd w:val="clear" w:color="auto" w:fill="FFFFFF"/>
        <w:rPr>
          <w:color w:val="000000"/>
          <w:sz w:val="20"/>
          <w:szCs w:val="20"/>
        </w:rPr>
      </w:pPr>
      <w:r w:rsidRPr="00AF7B10">
        <w:rPr>
          <w:color w:val="000000"/>
          <w:sz w:val="20"/>
          <w:szCs w:val="20"/>
        </w:rPr>
        <w:t xml:space="preserve">Change to support PASN from State 2 </w:t>
      </w:r>
      <w:r>
        <w:rPr>
          <w:color w:val="000000"/>
          <w:sz w:val="20"/>
          <w:szCs w:val="20"/>
        </w:rPr>
        <w:t xml:space="preserve">for DMG STAs that did not perform Std 802.11 </w:t>
      </w:r>
      <w:proofErr w:type="spellStart"/>
      <w:r>
        <w:rPr>
          <w:color w:val="000000"/>
          <w:sz w:val="20"/>
          <w:szCs w:val="20"/>
        </w:rPr>
        <w:t>authentication</w:t>
      </w:r>
      <w:r w:rsidR="00DA77C0">
        <w:rPr>
          <w:color w:val="000000"/>
          <w:sz w:val="20"/>
          <w:szCs w:val="20"/>
        </w:rPr>
        <w:t xml:space="preserve"> </w:t>
      </w:r>
      <w:r w:rsidRPr="00AF7B10">
        <w:rPr>
          <w:color w:val="000000"/>
          <w:sz w:val="20"/>
          <w:szCs w:val="20"/>
        </w:rPr>
        <w:t>woul</w:t>
      </w:r>
      <w:proofErr w:type="spellEnd"/>
      <w:r w:rsidRPr="00AF7B10">
        <w:rPr>
          <w:color w:val="000000"/>
          <w:sz w:val="20"/>
          <w:szCs w:val="20"/>
        </w:rPr>
        <w:t>d be a new feature.</w:t>
      </w:r>
    </w:p>
    <w:p w14:paraId="1AEFF84C" w14:textId="77777777" w:rsidR="00AF7B10" w:rsidRPr="00AF7B10" w:rsidRDefault="00AF7B10" w:rsidP="00AF7B10">
      <w:pPr>
        <w:shd w:val="clear" w:color="auto" w:fill="FFFFFF"/>
        <w:rPr>
          <w:color w:val="000000"/>
          <w:sz w:val="20"/>
          <w:szCs w:val="20"/>
        </w:rPr>
      </w:pPr>
      <w:r w:rsidRPr="00AF7B10">
        <w:rPr>
          <w:color w:val="000000"/>
          <w:sz w:val="20"/>
          <w:szCs w:val="20"/>
        </w:rPr>
        <w:t> </w:t>
      </w:r>
    </w:p>
    <w:p w14:paraId="03153DDA" w14:textId="4D2FEE5F" w:rsidR="00AF7B10" w:rsidRPr="00AF7B10" w:rsidRDefault="00AF7B10" w:rsidP="00AF7B10">
      <w:pPr>
        <w:shd w:val="clear" w:color="auto" w:fill="FFFFFF"/>
        <w:rPr>
          <w:color w:val="000000"/>
          <w:sz w:val="20"/>
          <w:szCs w:val="20"/>
        </w:rPr>
      </w:pPr>
      <w:r w:rsidRPr="00AF7B10">
        <w:rPr>
          <w:color w:val="000000"/>
          <w:sz w:val="20"/>
          <w:szCs w:val="20"/>
        </w:rPr>
        <w:t>If PASN is desired, DMG STAs should perform PASN from State 1</w:t>
      </w:r>
      <w:r w:rsidR="00DA77C0">
        <w:rPr>
          <w:color w:val="000000"/>
          <w:sz w:val="20"/>
          <w:szCs w:val="20"/>
        </w:rPr>
        <w:t>.</w:t>
      </w:r>
    </w:p>
    <w:p w14:paraId="60F2772F" w14:textId="77777777" w:rsidR="00AF7B10" w:rsidRPr="00AF7B10" w:rsidRDefault="00AF7B10" w:rsidP="00AF7B10">
      <w:pPr>
        <w:shd w:val="clear" w:color="auto" w:fill="FFFFFF"/>
        <w:rPr>
          <w:color w:val="000000"/>
          <w:sz w:val="20"/>
          <w:szCs w:val="20"/>
        </w:rPr>
      </w:pPr>
      <w:r w:rsidRPr="00AF7B10">
        <w:rPr>
          <w:color w:val="000000"/>
          <w:sz w:val="20"/>
          <w:szCs w:val="20"/>
        </w:rPr>
        <w:t> </w:t>
      </w:r>
    </w:p>
    <w:p w14:paraId="50D33F9C" w14:textId="77777777" w:rsidR="00AF7B10" w:rsidRPr="00AF7B10" w:rsidRDefault="00AF7B10" w:rsidP="00AF7B10">
      <w:pPr>
        <w:shd w:val="clear" w:color="auto" w:fill="FFFFFF"/>
        <w:rPr>
          <w:color w:val="000000"/>
          <w:sz w:val="20"/>
          <w:szCs w:val="20"/>
        </w:rPr>
      </w:pPr>
      <w:r w:rsidRPr="00AF7B10">
        <w:rPr>
          <w:color w:val="000000"/>
          <w:sz w:val="20"/>
          <w:szCs w:val="20"/>
        </w:rPr>
        <w:t>The changes are probably not going to be simple to support this feature.</w:t>
      </w:r>
    </w:p>
    <w:p w14:paraId="533C25FA" w14:textId="77777777" w:rsidR="00AF7B10" w:rsidRPr="00AF7B10" w:rsidRDefault="00AF7B10" w:rsidP="00AF7B10">
      <w:pPr>
        <w:shd w:val="clear" w:color="auto" w:fill="FFFFFF"/>
        <w:rPr>
          <w:color w:val="000000"/>
          <w:sz w:val="20"/>
          <w:szCs w:val="20"/>
        </w:rPr>
      </w:pPr>
      <w:r w:rsidRPr="00AF7B10">
        <w:rPr>
          <w:color w:val="000000"/>
          <w:sz w:val="20"/>
          <w:szCs w:val="20"/>
        </w:rPr>
        <w:t> </w:t>
      </w:r>
    </w:p>
    <w:p w14:paraId="4589CDA6" w14:textId="77777777" w:rsidR="00AF7B10" w:rsidRPr="00AF7B10" w:rsidRDefault="00AF7B10" w:rsidP="00AF7B10">
      <w:pPr>
        <w:shd w:val="clear" w:color="auto" w:fill="FFFFFF"/>
        <w:rPr>
          <w:color w:val="000000"/>
          <w:sz w:val="20"/>
          <w:szCs w:val="20"/>
        </w:rPr>
      </w:pPr>
      <w:r w:rsidRPr="00AF7B10">
        <w:rPr>
          <w:color w:val="000000"/>
          <w:sz w:val="20"/>
          <w:szCs w:val="20"/>
        </w:rPr>
        <w:t>Best course of action seems to be not to add the new feature.</w:t>
      </w:r>
    </w:p>
    <w:p w14:paraId="52A32D60" w14:textId="77777777" w:rsidR="00AF7B10" w:rsidRPr="00AF7B10" w:rsidRDefault="00AF7B10" w:rsidP="00AF7B10">
      <w:pPr>
        <w:shd w:val="clear" w:color="auto" w:fill="FFFFFF"/>
        <w:rPr>
          <w:color w:val="000000"/>
          <w:sz w:val="20"/>
          <w:szCs w:val="20"/>
        </w:rPr>
      </w:pPr>
      <w:r w:rsidRPr="00AF7B10">
        <w:rPr>
          <w:color w:val="000000"/>
          <w:sz w:val="20"/>
          <w:szCs w:val="20"/>
        </w:rPr>
        <w:t> </w:t>
      </w:r>
    </w:p>
    <w:p w14:paraId="59108E12" w14:textId="42D893B2" w:rsidR="00AF7B10" w:rsidRDefault="00AF7B10" w:rsidP="00AF7B10">
      <w:pPr>
        <w:shd w:val="clear" w:color="auto" w:fill="FFFFFF"/>
        <w:rPr>
          <w:color w:val="000000"/>
          <w:sz w:val="20"/>
          <w:szCs w:val="20"/>
        </w:rPr>
      </w:pPr>
      <w:r w:rsidRPr="00AF7B10">
        <w:rPr>
          <w:color w:val="000000"/>
          <w:sz w:val="20"/>
          <w:szCs w:val="20"/>
        </w:rPr>
        <w:t>As to clarifying in the text that “a DMG STA that does not perform IEEE 802.11 authentication also shall not perform PASN authentication”, it is already stated in TGaz 4.0 draft that PASN is one of the six IEEE 802.11 std authentication methods, and thus, clearly, DMG STAs that do not perform IEEE 802.11 authentication *cannot* perform PASN authentication.</w:t>
      </w:r>
    </w:p>
    <w:p w14:paraId="09A6DDB2" w14:textId="6193BAD2" w:rsidR="00DA77C0" w:rsidRDefault="00DA77C0" w:rsidP="00AF7B10">
      <w:pPr>
        <w:shd w:val="clear" w:color="auto" w:fill="FFFFFF"/>
        <w:rPr>
          <w:color w:val="000000"/>
          <w:sz w:val="20"/>
          <w:szCs w:val="20"/>
        </w:rPr>
      </w:pPr>
    </w:p>
    <w:p w14:paraId="7B72FD3A" w14:textId="697F4376" w:rsidR="00DA77C0" w:rsidRPr="00AF7B10" w:rsidRDefault="00DA77C0" w:rsidP="00AF7B10">
      <w:pPr>
        <w:shd w:val="clear" w:color="auto" w:fill="FFFFFF"/>
        <w:rPr>
          <w:color w:val="000000"/>
          <w:sz w:val="20"/>
          <w:szCs w:val="20"/>
        </w:rPr>
      </w:pPr>
      <w:r>
        <w:rPr>
          <w:color w:val="000000"/>
          <w:sz w:val="20"/>
          <w:szCs w:val="20"/>
        </w:rPr>
        <w:t>Note also that the commentor, in the comment, states that</w:t>
      </w:r>
      <w:proofErr w:type="gramStart"/>
      <w:r>
        <w:rPr>
          <w:color w:val="000000"/>
          <w:sz w:val="20"/>
          <w:szCs w:val="20"/>
        </w:rPr>
        <w:t xml:space="preserve"> ..</w:t>
      </w:r>
      <w:proofErr w:type="gramEnd"/>
      <w:r>
        <w:rPr>
          <w:color w:val="000000"/>
          <w:sz w:val="20"/>
          <w:szCs w:val="20"/>
        </w:rPr>
        <w:t>such STAs cannot perform PASN and seems to express a desire to support it – implying that the commentor understood that they cannot perform… and thus no further clarification seems needed.</w:t>
      </w:r>
    </w:p>
    <w:p w14:paraId="6B272C57" w14:textId="77777777" w:rsidR="00AF7B10" w:rsidRPr="00AF7B10" w:rsidRDefault="00AF7B10" w:rsidP="00AF7B10">
      <w:pPr>
        <w:shd w:val="clear" w:color="auto" w:fill="FFFFFF"/>
        <w:rPr>
          <w:color w:val="000000"/>
          <w:sz w:val="20"/>
          <w:szCs w:val="20"/>
        </w:rPr>
      </w:pPr>
      <w:r w:rsidRPr="00AF7B10">
        <w:rPr>
          <w:color w:val="000000"/>
          <w:sz w:val="20"/>
          <w:szCs w:val="20"/>
        </w:rPr>
        <w:t> </w:t>
      </w:r>
    </w:p>
    <w:p w14:paraId="0D306B9D" w14:textId="0BB3F85C" w:rsidR="00DA77C0" w:rsidRPr="00DA77C0" w:rsidRDefault="00DA77C0" w:rsidP="00AF7B10">
      <w:pPr>
        <w:shd w:val="clear" w:color="auto" w:fill="FFFFFF"/>
        <w:rPr>
          <w:color w:val="000000"/>
          <w:sz w:val="20"/>
          <w:szCs w:val="20"/>
        </w:rPr>
      </w:pPr>
      <w:r w:rsidRPr="00DA77C0">
        <w:rPr>
          <w:color w:val="000000"/>
          <w:sz w:val="20"/>
          <w:szCs w:val="20"/>
        </w:rPr>
        <w:t>It is already stated in TGaz D4.0</w:t>
      </w:r>
      <w:r>
        <w:rPr>
          <w:color w:val="000000"/>
          <w:sz w:val="20"/>
          <w:szCs w:val="20"/>
        </w:rPr>
        <w:t xml:space="preserve"> that</w:t>
      </w:r>
    </w:p>
    <w:p w14:paraId="19683A56" w14:textId="373F29B9" w:rsidR="00AF7B10" w:rsidRPr="00AF7B10" w:rsidRDefault="00AF7B10" w:rsidP="00AF7B10">
      <w:pPr>
        <w:shd w:val="clear" w:color="auto" w:fill="FFFFFF"/>
        <w:rPr>
          <w:color w:val="000000"/>
          <w:sz w:val="16"/>
          <w:szCs w:val="16"/>
        </w:rPr>
      </w:pPr>
      <w:r w:rsidRPr="00AF7B10">
        <w:rPr>
          <w:color w:val="000000"/>
          <w:sz w:val="16"/>
          <w:szCs w:val="16"/>
        </w:rPr>
        <w:t> </w:t>
      </w:r>
    </w:p>
    <w:p w14:paraId="4E92B4DB" w14:textId="55405169" w:rsidR="00AF7B10" w:rsidRPr="00AF7B10" w:rsidRDefault="00AF7B10" w:rsidP="00AF7B10">
      <w:pPr>
        <w:shd w:val="clear" w:color="auto" w:fill="FFFFFF"/>
        <w:rPr>
          <w:color w:val="000000" w:themeColor="text1"/>
          <w:sz w:val="20"/>
          <w:szCs w:val="20"/>
        </w:rPr>
      </w:pPr>
      <w:r w:rsidRPr="00AF7B10">
        <w:rPr>
          <w:color w:val="000000" w:themeColor="text1"/>
          <w:sz w:val="20"/>
          <w:szCs w:val="20"/>
        </w:rPr>
        <w:t> </w:t>
      </w:r>
      <w:r w:rsidR="00DA77C0">
        <w:rPr>
          <w:color w:val="000000" w:themeColor="text1"/>
          <w:sz w:val="20"/>
          <w:szCs w:val="20"/>
        </w:rPr>
        <w:t>“</w:t>
      </w:r>
    </w:p>
    <w:p w14:paraId="6D311790" w14:textId="77777777" w:rsidR="00AF7B10" w:rsidRPr="00AF7B10" w:rsidRDefault="00AF7B10" w:rsidP="00AF7B10">
      <w:pPr>
        <w:shd w:val="clear" w:color="auto" w:fill="FFFFFF"/>
        <w:rPr>
          <w:rFonts w:asciiTheme="minorHAnsi" w:hAnsiTheme="minorHAnsi" w:cstheme="minorHAnsi"/>
          <w:b/>
          <w:bCs/>
          <w:color w:val="000000"/>
          <w:sz w:val="20"/>
          <w:szCs w:val="20"/>
        </w:rPr>
      </w:pPr>
      <w:r w:rsidRPr="00AF7B10">
        <w:rPr>
          <w:rFonts w:asciiTheme="minorHAnsi" w:hAnsiTheme="minorHAnsi" w:cstheme="minorHAnsi"/>
          <w:b/>
          <w:bCs/>
          <w:color w:val="000000"/>
          <w:sz w:val="20"/>
          <w:szCs w:val="20"/>
        </w:rPr>
        <w:t>4.5.4.2 Authentication </w:t>
      </w:r>
    </w:p>
    <w:p w14:paraId="0F61DFA2" w14:textId="77777777" w:rsidR="00AF7B10" w:rsidRPr="00AF7B10" w:rsidRDefault="00AF7B10" w:rsidP="00AF7B10">
      <w:pPr>
        <w:shd w:val="clear" w:color="auto" w:fill="FFFFFF"/>
        <w:rPr>
          <w:rFonts w:asciiTheme="minorHAnsi" w:hAnsiTheme="minorHAnsi" w:cstheme="minorHAnsi"/>
          <w:color w:val="000000"/>
          <w:sz w:val="20"/>
          <w:szCs w:val="20"/>
        </w:rPr>
      </w:pPr>
      <w:r w:rsidRPr="00AF7B10">
        <w:rPr>
          <w:rFonts w:asciiTheme="minorHAnsi" w:hAnsiTheme="minorHAnsi" w:cstheme="minorHAnsi"/>
          <w:color w:val="000000"/>
          <w:sz w:val="20"/>
          <w:szCs w:val="20"/>
        </w:rPr>
        <w:t>Change the following paragraphs as shown: </w:t>
      </w:r>
    </w:p>
    <w:p w14:paraId="38CD081E" w14:textId="23D03EF1" w:rsidR="00AF7B10" w:rsidRPr="00AF7B10" w:rsidRDefault="00AF7B10" w:rsidP="00AF7B10">
      <w:pPr>
        <w:shd w:val="clear" w:color="auto" w:fill="FFFFFF"/>
        <w:rPr>
          <w:rFonts w:asciiTheme="minorHAnsi" w:hAnsiTheme="minorHAnsi" w:cstheme="minorHAnsi"/>
          <w:color w:val="000000"/>
          <w:sz w:val="20"/>
          <w:szCs w:val="20"/>
        </w:rPr>
      </w:pPr>
      <w:r w:rsidRPr="00AF7B10">
        <w:rPr>
          <w:rFonts w:asciiTheme="minorHAnsi" w:hAnsiTheme="minorHAnsi" w:cstheme="minorHAnsi"/>
          <w:color w:val="000000"/>
          <w:sz w:val="20"/>
          <w:szCs w:val="20"/>
        </w:rPr>
        <w:lastRenderedPageBreak/>
        <w:t>IEEE Std 802.11-2020 defines six IEEE 802.11 authentication methods: Open System authentication, Shared Key authentication, FT authentication, (IEEE Std 802.11-2020) simultaneous authentication of equals (SAE), FILS authentication</w:t>
      </w:r>
      <w:r w:rsidR="00DA77C0">
        <w:rPr>
          <w:rFonts w:asciiTheme="minorHAnsi" w:hAnsiTheme="minorHAnsi" w:cstheme="minorHAnsi"/>
          <w:color w:val="000000"/>
          <w:sz w:val="20"/>
          <w:szCs w:val="20"/>
        </w:rPr>
        <w:t xml:space="preserve"> </w:t>
      </w:r>
      <w:r w:rsidRPr="00AF7B10">
        <w:rPr>
          <w:rFonts w:asciiTheme="minorHAnsi" w:hAnsiTheme="minorHAnsi" w:cstheme="minorHAnsi"/>
          <w:color w:val="000000"/>
          <w:sz w:val="20"/>
          <w:szCs w:val="20"/>
        </w:rPr>
        <w:t xml:space="preserve">(IEEE Std 802.11-2020) and </w:t>
      </w:r>
      <w:proofErr w:type="spellStart"/>
      <w:r w:rsidRPr="00AF7B10">
        <w:rPr>
          <w:rFonts w:asciiTheme="minorHAnsi" w:hAnsiTheme="minorHAnsi" w:cstheme="minorHAnsi"/>
          <w:color w:val="000000"/>
          <w:sz w:val="20"/>
          <w:szCs w:val="20"/>
        </w:rPr>
        <w:t>preassociation</w:t>
      </w:r>
      <w:proofErr w:type="spellEnd"/>
      <w:r w:rsidRPr="00AF7B10">
        <w:rPr>
          <w:rFonts w:asciiTheme="minorHAnsi" w:hAnsiTheme="minorHAnsi" w:cstheme="minorHAnsi"/>
          <w:color w:val="000000"/>
          <w:sz w:val="20"/>
          <w:szCs w:val="20"/>
        </w:rPr>
        <w:t xml:space="preserve"> security negotiation (PASN) authentication. </w:t>
      </w:r>
    </w:p>
    <w:p w14:paraId="2CBD3E91" w14:textId="4FF50AFC" w:rsidR="00AF7B10" w:rsidRDefault="00DA77C0" w:rsidP="00AF7B10">
      <w:r>
        <w:t>“</w:t>
      </w:r>
    </w:p>
    <w:p w14:paraId="06B333A0" w14:textId="77777777" w:rsidR="00DA77C0" w:rsidRPr="00AF7B10" w:rsidRDefault="00DA77C0" w:rsidP="00AF7B10"/>
    <w:p w14:paraId="14E948D6" w14:textId="02BF61AF" w:rsidR="001C2748" w:rsidRPr="001C2748" w:rsidRDefault="00DA77C0" w:rsidP="009508AD">
      <w:pPr>
        <w:shd w:val="clear" w:color="auto" w:fill="FFFFFF"/>
        <w:rPr>
          <w:color w:val="222222"/>
          <w:szCs w:val="20"/>
        </w:rPr>
      </w:pPr>
      <w:r w:rsidRPr="00AF7B10">
        <w:rPr>
          <w:color w:val="000000"/>
          <w:sz w:val="20"/>
          <w:szCs w:val="20"/>
        </w:rPr>
        <w:t>Additional clarity does not seem to be needed and thus I recommend rejecting this comment.</w:t>
      </w:r>
    </w:p>
    <w:p w14:paraId="3C481BAD" w14:textId="458EBDE3" w:rsidR="00AF7B10" w:rsidRPr="006E1CB8" w:rsidRDefault="001C2748" w:rsidP="00AF7B10">
      <w:pPr>
        <w:shd w:val="clear" w:color="auto" w:fill="FFFFFF"/>
        <w:rPr>
          <w:color w:val="222222"/>
          <w:szCs w:val="20"/>
          <w:u w:val="single"/>
        </w:rPr>
      </w:pPr>
      <w:r w:rsidRPr="001C2748">
        <w:rPr>
          <w:color w:val="222222"/>
          <w:szCs w:val="20"/>
        </w:rPr>
        <w:t xml:space="preserve"> </w:t>
      </w:r>
    </w:p>
    <w:p w14:paraId="2D5C692E" w14:textId="3EDBE1C3" w:rsidR="006E1CB8" w:rsidRPr="006E1CB8" w:rsidRDefault="006E1CB8" w:rsidP="006E1CB8">
      <w:pPr>
        <w:shd w:val="clear" w:color="auto" w:fill="FFFFFF"/>
        <w:rPr>
          <w:color w:val="222222"/>
          <w:szCs w:val="20"/>
          <w:u w:val="single"/>
        </w:rPr>
      </w:pPr>
    </w:p>
    <w:sectPr w:rsidR="006E1CB8" w:rsidRPr="006E1CB8"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FB49" w14:textId="77777777" w:rsidR="00893B16" w:rsidRDefault="00893B16">
      <w:r>
        <w:separator/>
      </w:r>
    </w:p>
  </w:endnote>
  <w:endnote w:type="continuationSeparator" w:id="0">
    <w:p w14:paraId="5CBAE266" w14:textId="77777777" w:rsidR="00893B16" w:rsidRDefault="0089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55B0F2E9" w:rsidR="003B6E8A" w:rsidRDefault="00893B16">
    <w:pPr>
      <w:pStyle w:val="Footer"/>
      <w:tabs>
        <w:tab w:val="clear" w:pos="6480"/>
        <w:tab w:val="center" w:pos="4680"/>
        <w:tab w:val="right" w:pos="9360"/>
      </w:tabs>
    </w:pPr>
    <w:r>
      <w:fldChar w:fldCharType="begin"/>
    </w:r>
    <w:r>
      <w:instrText xml:space="preserve"> SUBJECT  \* MERGEFORMAT </w:instrText>
    </w:r>
    <w:r>
      <w:fldChar w:fldCharType="separate"/>
    </w:r>
    <w:r w:rsidR="00D44603">
      <w:t>Submission</w:t>
    </w:r>
    <w:r>
      <w:fldChar w:fldCharType="end"/>
    </w:r>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3B6D" w14:textId="77777777" w:rsidR="00893B16" w:rsidRDefault="00893B16">
      <w:r>
        <w:separator/>
      </w:r>
    </w:p>
  </w:footnote>
  <w:footnote w:type="continuationSeparator" w:id="0">
    <w:p w14:paraId="1E9DAD8E" w14:textId="77777777" w:rsidR="00893B16" w:rsidRDefault="00893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7229B55C" w:rsidR="003B6E8A" w:rsidRDefault="00AF7B10">
    <w:pPr>
      <w:pStyle w:val="Header"/>
      <w:tabs>
        <w:tab w:val="clear" w:pos="6480"/>
        <w:tab w:val="center" w:pos="4680"/>
        <w:tab w:val="right" w:pos="9360"/>
      </w:tabs>
    </w:pPr>
    <w:r>
      <w:t>September 2021</w:t>
    </w:r>
    <w:r w:rsidR="003B6E8A">
      <w:tab/>
    </w:r>
    <w:r w:rsidR="003B6E8A">
      <w:tab/>
    </w:r>
    <w:r w:rsidR="003B6E8A" w:rsidRPr="00C80CDE">
      <w:t>doc.: IEEE 802.11-</w:t>
    </w:r>
    <w:r>
      <w:t>21/1487r0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3B16"/>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0"/>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A77C0"/>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B10"/>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semiHidden/>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58863839">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8228811">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2B21-05E5-CC41-8D2F-14590006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29</cp:revision>
  <cp:lastPrinted>2020-01-24T21:45:00Z</cp:lastPrinted>
  <dcterms:created xsi:type="dcterms:W3CDTF">2020-01-16T20:11:00Z</dcterms:created>
  <dcterms:modified xsi:type="dcterms:W3CDTF">2021-09-10T21:00:00Z</dcterms:modified>
  <cp:category/>
</cp:coreProperties>
</file>