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commentsextended.xml" ContentType="application/vnd.openxmlformats-officedocument.wordprocessingml.commentsExtended+xml"/>
  <Override PartName="/word/footnotes.xml" ContentType="application/vnd.openxmlformats-officedocument.wordprocessingml.footnot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ackground w:color="ffffff"/>
  <w:body>
    <w:p>
      <w:pPr>
        <w:pStyle w:val="T1"/>
        <w:pBdr>
          <w:bottom w:val="single" w:color="auto" w:sz="6" w:space="0"/>
        </w:pBdr>
        <w:spacing w:after="240"/>
        <w:rPr/>
      </w:pPr>
      <w:r>
        <w:t>IEEE P802.11</w:t>
      </w:r>
      <w:r>
        <w:rPr/>
        <w:br w:type="textWrapping"/>
      </w:r>
      <w:r>
        <w:t>Wireless LANs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 w:type="dxa"/>
          <w:right w:w="10" w:type="dxa"/>
        </w:tblCellMar>
        <w:tblLook w:val="04A0"/>
      </w:tblPr>
      <w:tblGrid>
        <w:gridCol w:w="1766"/>
        <w:gridCol w:w="1634"/>
        <w:gridCol w:w="1574"/>
        <w:gridCol w:w="1815"/>
        <w:gridCol w:w="2787"/>
      </w:tblGrid>
      <w:tr>
        <w:tblPrEx>
          <w:tblCellMar>
            <w:top w:w="0" w:type="dxa"/>
            <w:bottom w:w="0" w:type="dxa"/>
          </w:tblCellMar>
        </w:tblPrEx>
        <w:trPr>
          <w:trHeight w:val="485"/>
          <w:jc w:val="center"/>
        </w:trPr>
        <w:tc>
          <w:tcPr>
            <w:cnfStyle w:val="101000000000"/>
            <w:tcW w:w="9576" w:type="dxa"/>
            <w:gridSpan w:val="5"/>
            <w:vAlign w:val="center"/>
          </w:tcPr>
          <w:p>
            <w:pPr>
              <w:pStyle w:val="T2"/>
              <w:rPr/>
            </w:pPr>
            <w:r>
              <w:t>CIDs for Supported Rates</w:t>
            </w:r>
          </w:p>
        </w:tc>
      </w:tr>
      <w:tr>
        <w:tblPrEx>
          <w:tblCellMar>
            <w:top w:w="0" w:type="dxa"/>
            <w:bottom w:w="0" w:type="dxa"/>
          </w:tblCellMar>
        </w:tblPrEx>
        <w:trPr>
          <w:trHeight w:val="359"/>
          <w:jc w:val="center"/>
        </w:trPr>
        <w:tc>
          <w:tcPr>
            <w:cnfStyle w:val="001000100000"/>
            <w:tcW w:w="9576" w:type="dxa"/>
            <w:gridSpan w:val="5"/>
            <w:vAlign w:val="center"/>
          </w:tcPr>
          <w:p>
            <w:pPr>
              <w:pStyle w:val="T2"/>
              <w:ind w:left="0"/>
              <w:rPr>
                <w:sz w:val="20"/>
              </w:rPr>
            </w:pPr>
            <w:r>
              <w:rPr>
                <w:sz w:val="20"/>
              </w:rPr>
              <w:t>Date:</w:t>
            </w:r>
            <w:r>
              <w:rPr>
                <w:sz w:val="20"/>
              </w:rPr>
              <w:t xml:space="preserve">  2021-09-07</w:t>
            </w:r>
          </w:p>
        </w:tc>
      </w:tr>
      <w:tr>
        <w:tblPrEx>
          <w:tblCellMar>
            <w:top w:w="0" w:type="dxa"/>
            <w:bottom w:w="0" w:type="dxa"/>
          </w:tblCellMar>
        </w:tblPrEx>
        <w:trPr>
          <w:cantSplit w:val="on"/>
          <w:jc w:val="center"/>
        </w:trPr>
        <w:tc>
          <w:tcPr>
            <w:cnfStyle w:val="001000010000"/>
            <w:tcW w:w="9576" w:type="dxa"/>
            <w:gridSpan w:val="5"/>
            <w:vAlign w:val="center"/>
          </w:tcPr>
          <w:p>
            <w:pPr>
              <w:pStyle w:val="T2"/>
              <w:spacing w:after="0"/>
              <w:ind w:left="0" w:right="0"/>
              <w:jc w:val="left"/>
              <w:rPr>
                <w:sz w:val="20"/>
              </w:rPr>
            </w:pPr>
            <w:r>
              <w:rPr>
                <w:sz w:val="20"/>
              </w:rPr>
              <w:t>Author(s):</w:t>
            </w:r>
          </w:p>
        </w:tc>
      </w:tr>
      <w:tr>
        <w:tblPrEx>
          <w:tblCellMar>
            <w:top w:w="0" w:type="dxa"/>
            <w:bottom w:w="0" w:type="dxa"/>
          </w:tblCellMar>
        </w:tblPrEx>
        <w:trPr>
          <w:jc w:val="center"/>
        </w:trPr>
        <w:tc>
          <w:tcPr>
            <w:cnfStyle w:val="001000100000"/>
            <w:tcW w:w="1766" w:type="dxa"/>
            <w:vAlign w:val="center"/>
          </w:tcPr>
          <w:p>
            <w:pPr>
              <w:pStyle w:val="T2"/>
              <w:spacing w:after="0"/>
              <w:ind w:left="0" w:right="0"/>
              <w:jc w:val="left"/>
              <w:rPr>
                <w:sz w:val="20"/>
              </w:rPr>
            </w:pPr>
            <w:r>
              <w:rPr>
                <w:sz w:val="20"/>
              </w:rPr>
              <w:t>Name</w:t>
            </w:r>
          </w:p>
        </w:tc>
        <w:tc>
          <w:tcPr>
            <w:cnfStyle w:val="000000100000"/>
            <w:tcW w:w="1634" w:type="dxa"/>
            <w:vAlign w:val="center"/>
          </w:tcPr>
          <w:p>
            <w:pPr>
              <w:pStyle w:val="T2"/>
              <w:spacing w:after="0"/>
              <w:ind w:left="0" w:right="0"/>
              <w:jc w:val="left"/>
              <w:rPr>
                <w:sz w:val="20"/>
              </w:rPr>
            </w:pPr>
            <w:r>
              <w:rPr>
                <w:sz w:val="20"/>
              </w:rPr>
              <w:t>Affiliation</w:t>
            </w:r>
          </w:p>
        </w:tc>
        <w:tc>
          <w:tcPr>
            <w:cnfStyle w:val="000000100000"/>
            <w:tcW w:w="1574" w:type="dxa"/>
            <w:vAlign w:val="center"/>
          </w:tcPr>
          <w:p>
            <w:pPr>
              <w:pStyle w:val="T2"/>
              <w:spacing w:after="0"/>
              <w:ind w:left="0" w:right="0"/>
              <w:jc w:val="left"/>
              <w:rPr>
                <w:sz w:val="20"/>
              </w:rPr>
            </w:pPr>
            <w:r>
              <w:rPr>
                <w:sz w:val="20"/>
              </w:rPr>
              <w:t>Address</w:t>
            </w:r>
          </w:p>
        </w:tc>
        <w:tc>
          <w:tcPr>
            <w:cnfStyle w:val="000000100000"/>
            <w:tcW w:w="1815" w:type="dxa"/>
            <w:vAlign w:val="center"/>
          </w:tcPr>
          <w:p>
            <w:pPr>
              <w:pStyle w:val="T2"/>
              <w:spacing w:after="0"/>
              <w:ind w:left="0" w:right="0"/>
              <w:jc w:val="left"/>
              <w:rPr>
                <w:sz w:val="20"/>
              </w:rPr>
            </w:pPr>
            <w:r>
              <w:rPr>
                <w:sz w:val="20"/>
              </w:rPr>
              <w:t>Phone</w:t>
            </w:r>
          </w:p>
        </w:tc>
        <w:tc>
          <w:tcPr>
            <w:cnfStyle w:val="000000100000"/>
            <w:tcW w:w="2787" w:type="dxa"/>
            <w:vAlign w:val="center"/>
          </w:tcPr>
          <w:p>
            <w:pPr>
              <w:pStyle w:val="T2"/>
              <w:spacing w:after="0"/>
              <w:ind w:left="0" w:right="0"/>
              <w:jc w:val="left"/>
              <w:rPr>
                <w:sz w:val="20"/>
              </w:rPr>
            </w:pPr>
            <w:r>
              <w:rPr>
                <w:sz w:val="20"/>
              </w:rPr>
              <w:t>email</w:t>
            </w:r>
          </w:p>
        </w:tc>
      </w:tr>
      <w:tr>
        <w:tblPrEx>
          <w:tblCellMar>
            <w:top w:w="0" w:type="dxa"/>
            <w:bottom w:w="0" w:type="dxa"/>
          </w:tblCellMar>
        </w:tblPrEx>
        <w:trPr>
          <w:jc w:val="center"/>
        </w:trPr>
        <w:tc>
          <w:tcPr>
            <w:cnfStyle w:val="001000010000"/>
            <w:tcW w:w="1766" w:type="dxa"/>
            <w:vAlign w:val="center"/>
          </w:tcPr>
          <w:p>
            <w:pPr>
              <w:pStyle w:val="T2"/>
              <w:spacing w:after="0"/>
              <w:ind w:left="0" w:right="0"/>
              <w:rPr>
                <w:sz w:val="20"/>
              </w:rPr>
            </w:pPr>
            <w:r>
              <w:rPr>
                <w:sz w:val="20"/>
              </w:rPr>
              <w:t>David Halasz</w:t>
            </w:r>
          </w:p>
        </w:tc>
        <w:tc>
          <w:tcPr>
            <w:cnfStyle w:val="000000010000"/>
            <w:tcW w:w="1634" w:type="dxa"/>
            <w:vAlign w:val="center"/>
          </w:tcPr>
          <w:p>
            <w:pPr>
              <w:pStyle w:val="T2"/>
              <w:spacing w:after="0"/>
              <w:ind w:left="0" w:right="0"/>
              <w:rPr>
                <w:sz w:val="20"/>
              </w:rPr>
            </w:pPr>
            <w:r>
              <w:rPr>
                <w:sz w:val="20"/>
              </w:rPr>
              <w:t>Morse Micro</w:t>
            </w:r>
          </w:p>
        </w:tc>
        <w:tc>
          <w:tcPr>
            <w:cnfStyle w:val="000000010000"/>
            <w:tcW w:w="1574" w:type="dxa"/>
            <w:vAlign w:val="center"/>
          </w:tcPr>
          <w:p>
            <w:pPr>
              <w:pStyle w:val="T2"/>
              <w:spacing w:after="0"/>
              <w:ind w:left="0" w:right="0"/>
              <w:rPr>
                <w:sz w:val="20"/>
              </w:rPr>
            </w:pPr>
          </w:p>
        </w:tc>
        <w:tc>
          <w:tcPr>
            <w:cnfStyle w:val="000000010000"/>
            <w:tcW w:w="1815" w:type="dxa"/>
            <w:vAlign w:val="center"/>
          </w:tcPr>
          <w:p>
            <w:pPr>
              <w:pStyle w:val="T2"/>
              <w:spacing w:after="0"/>
              <w:ind w:left="0" w:right="0"/>
              <w:rPr>
                <w:sz w:val="20"/>
              </w:rPr>
            </w:pPr>
          </w:p>
        </w:tc>
        <w:tc>
          <w:tcPr>
            <w:cnfStyle w:val="000000010000"/>
            <w:tcW w:w="2787" w:type="dxa"/>
            <w:vAlign w:val="center"/>
          </w:tcPr>
          <w:p>
            <w:pPr>
              <w:pStyle w:val="T2"/>
              <w:spacing w:after="0"/>
              <w:ind w:left="0" w:right="0"/>
              <w:rPr>
                <w:sz w:val="16"/>
              </w:rPr>
            </w:pPr>
            <w:r>
              <w:rPr>
                <w:sz w:val="16"/>
              </w:rPr>
              <w:t>dave.halasz@morsemicro.com</w:t>
            </w:r>
          </w:p>
        </w:tc>
      </w:tr>
      <w:tr>
        <w:tblPrEx>
          <w:tblCellMar>
            <w:top w:w="0" w:type="dxa"/>
            <w:bottom w:w="0" w:type="dxa"/>
          </w:tblCellMar>
        </w:tblPrEx>
        <w:trPr>
          <w:jc w:val="center"/>
        </w:trPr>
        <w:tc>
          <w:tcPr>
            <w:cnfStyle w:val="001000100000"/>
            <w:tcW w:w="1766" w:type="dxa"/>
            <w:vAlign w:val="center"/>
          </w:tcPr>
          <w:p>
            <w:pPr>
              <w:pStyle w:val="T2"/>
              <w:spacing w:after="0"/>
              <w:ind w:left="0" w:right="0"/>
              <w:rPr>
                <w:sz w:val="20"/>
              </w:rPr>
            </w:pPr>
            <w:r>
              <w:rPr>
                <w:sz w:val="20"/>
              </w:rPr>
              <w:t>Dave Goodall</w:t>
            </w:r>
          </w:p>
        </w:tc>
        <w:tc>
          <w:tcPr>
            <w:cnfStyle w:val="000000100000"/>
            <w:tcW w:w="1634" w:type="dxa"/>
            <w:vAlign w:val="center"/>
          </w:tcPr>
          <w:p>
            <w:pPr>
              <w:pStyle w:val="T2"/>
              <w:spacing w:after="0"/>
              <w:ind w:left="0" w:right="0"/>
              <w:rPr>
                <w:sz w:val="20"/>
              </w:rPr>
            </w:pPr>
            <w:r>
              <w:rPr>
                <w:sz w:val="20"/>
              </w:rPr>
              <w:t>Morse Micro</w:t>
            </w:r>
          </w:p>
        </w:tc>
        <w:tc>
          <w:tcPr>
            <w:cnfStyle w:val="000000100000"/>
            <w:tcW w:w="1574" w:type="dxa"/>
            <w:vAlign w:val="center"/>
          </w:tcPr>
          <w:p>
            <w:pPr>
              <w:pStyle w:val="T2"/>
              <w:spacing w:after="0"/>
              <w:ind w:left="0" w:right="0"/>
              <w:rPr>
                <w:sz w:val="20"/>
              </w:rPr>
            </w:pPr>
          </w:p>
        </w:tc>
        <w:tc>
          <w:tcPr>
            <w:cnfStyle w:val="000000100000"/>
            <w:tcW w:w="1815" w:type="dxa"/>
            <w:vAlign w:val="center"/>
          </w:tcPr>
          <w:p>
            <w:pPr>
              <w:pStyle w:val="T2"/>
              <w:spacing w:after="0"/>
              <w:ind w:left="0" w:right="0"/>
              <w:rPr>
                <w:sz w:val="20"/>
              </w:rPr>
            </w:pPr>
          </w:p>
        </w:tc>
        <w:tc>
          <w:tcPr>
            <w:cnfStyle w:val="000000100000"/>
            <w:tcW w:w="2787" w:type="dxa"/>
            <w:vAlign w:val="center"/>
          </w:tcPr>
          <w:p>
            <w:pPr>
              <w:pStyle w:val="T2"/>
              <w:spacing w:after="0"/>
              <w:ind w:left="0" w:right="0"/>
              <w:rPr>
                <w:sz w:val="16"/>
              </w:rPr>
            </w:pPr>
            <w:r>
              <w:rPr>
                <w:sz w:val="16"/>
              </w:rPr>
              <w:t>dave@morsemicro.com</w:t>
            </w:r>
          </w:p>
        </w:tc>
      </w:tr>
    </w:tbl>
    <w:p>
      <w:pPr>
        <w:pStyle w:val="T1"/>
        <w:spacing w:after="120"/>
        <w:rPr>
          <w:sz w:val="22"/>
        </w:rPr>
      </w:pPr>
      <w:r>
        <w:rPr/>
        <mc:AlternateContent>
          <mc:Choice Requires="wps">
            <w:drawing xmlns:mc="http://schemas.openxmlformats.org/markup-compatibility/2006">
              <wp:anchor allowOverlap="1" behindDoc="0" distT="0" distB="0" distL="118872" distR="118872" layoutInCell="1" locked="0" relativeHeight="1" simplePos="0">
                <wp:simplePos x="0" y="0"/>
                <wp:positionH relativeFrom="column">
                  <wp:posOffset>-62865</wp:posOffset>
                </wp:positionH>
                <wp:positionV relativeFrom="paragraph">
                  <wp:posOffset>205740</wp:posOffset>
                </wp:positionV>
                <wp:extent cx="5943600" cy="2844800"/>
                <wp:effectExtent l="0" t="0" r="0" b="0"/>
                <wp:wrapNone/>
                <wp:docPr id="36" name="Shape 15"/>
                <wp:cNvGraphicFramePr>
                  <a:graphicFrameLocks xmlns:a="http://schemas.openxmlformats.org/drawingml/2006/main"/>
                </wp:cNvGraphicFramePr>
                <a:graphic xmlns:a="http://schemas.openxmlformats.org/drawingml/2006/main">
                  <a:graphicData uri="http://schemas.microsoft.com/office/word/2010/wordprocessingShape">
                    <wps:wsp>
                      <wps:cNvPr id="15" name="Shape 15"/>
                      <wps:cNvSpPr/>
                      <wps:spPr>
                        <a:xfrm>
                          <a:off x="0" y="0"/>
                          <a:ext cx="5943600" cy="2844800"/>
                        </a:xfrm>
                        <a:prstGeom prst="rect">
                          <a:avLst/>
                        </a:prstGeom>
                        <a:ln w="0" cap="flat" cmpd="sng" algn="ctr">
                          <a:noFill/>
                          <a:miter lim="800000"/>
                          <a:headEnd type="none" w="med" len="med"/>
                          <a:tailEnd type="none" w="med" len="med"/>
                        </a:ln>
                        <a:effectLst/>
                      </wps:spPr>
                      <wps:txbx id="0">
                        <w:txbxContent>
                          <w:p>
                            <w:pPr>
                              <w:pStyle w:val="T1"/>
                              <w:spacing w:after="120"/>
                              <w:rPr/>
                            </w:pPr>
                            <w:r>
                              <w:t>Abstract</w:t>
                            </w:r>
                          </w:p>
                          <w:p>
                            <w:pPr>
                              <w:jc w:val="both"/>
                              <w:rPr/>
                            </w:pPr>
                            <w:r>
                              <w:t xml:space="preserve">This document proposes comment resolutions for the </w:t>
                            </w:r>
                            <w:r>
                              <w:t>following CIDs:</w:t>
                            </w:r>
                          </w:p>
                          <w:p>
                            <w:pPr>
                              <w:jc w:val="both"/>
                              <w:rPr/>
                            </w:pPr>
                          </w:p>
                          <w:p>
                            <w:pPr>
                              <w:jc w:val="both"/>
                              <w:rPr/>
                            </w:pPr>
                            <w:r>
                              <w:t>24 through 35</w:t>
                            </w:r>
                          </w:p>
                          <w:p>
                            <w:pPr>
                              <w:jc w:val="both"/>
                              <w:rPr/>
                            </w:pPr>
                          </w:p>
                          <w:p>
                            <w:pPr>
                              <w:jc w:val="both"/>
                              <w:rPr/>
                            </w:pPr>
                            <w:r>
                              <w:t>Proposed Resolution:</w:t>
                            </w:r>
                          </w:p>
                          <w:p>
                            <w:pPr>
                              <w:numPr>
                                <w:ilvl w:val="0"/>
                                <w:numId w:val="13"/>
                              </w:numPr>
                              <w:jc w:val="both"/>
                              <w:rPr/>
                            </w:pPr>
                            <w:r>
                              <w:t>CID 24 through 35 : Revised. Incorporate the changes shown as “Proposed change” in this document.</w:t>
                            </w:r>
                          </w:p>
                          <w:p/>
                        </w:txbxContent>
                      </wps:txbx>
                      <wps:bodyPr anchor="t"/>
                    </wps:wsp>
                  </a:graphicData>
                </a:graphic>
              </wp:anchor>
            </w:drawing>
          </mc:Choice>
          <mc:Fallback>
            <w:pict>
              <v:shape id="0B53CA79-B8CA-DC16-B98AA8C88826" coordsize="21600,21600" style="position:absolute;width:468pt;height:224pt;margin-top:16.2pt;margin-left:-4.95pt;mso-wrap-distance-left:9.36pt;mso-wrap-distance-right:9.36pt;mso-wrap-distance-top:0pt;mso-wrap-distance-bottom:0pt;rotation:0.000000;z-index:1;" stroked="f" o:spt="1" path="m0,0 l0,21600 r21600,0 l21600,0 x e">
                <w10:wrap side="both"/>
                <o:lock/>
              </v:shape>
            </w:pict>
          </mc:Fallback>
        </mc:AlternateContent>
      </w:r>
    </w:p>
    <w:p>
      <w:r>
        <w:rPr/>
        <w:br w:type="page"/>
      </w:r>
    </w:p>
    <w:p>
      <w:r>
        <w:rPr/>
        <w:drawing xmlns:mc="http://schemas.openxmlformats.org/markup-compatibility/2006">
          <wp:inline distT="0" distB="0" distL="118872" distR="118872">
            <wp:extent cx="5937250" cy="4224020"/>
            <wp:effectExtent l="0" t="0" r="25400" b="25400"/>
            <wp:docPr id="37"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pic:cNvPicPr>
                      <a:picLocks noGrp="0" noSelect="0" noRot="0" noChangeAspect="1" noMove="0" noResize="0" noAdjustHandles="0" noChangeShapeType="0"/>
                    </pic:cNvPicPr>
                  </pic:nvPicPr>
                  <pic:blipFill>
                    <a:blip r:embed="rId64"/>
                    <a:srcRect/>
                    <a:stretch>
                      <a:fillRect/>
                    </a:stretch>
                  </pic:blipFill>
                  <pic:spPr>
                    <a:xfrm>
                      <a:off x="0" y="0"/>
                      <a:ext cx="5937250" cy="4224020"/>
                    </a:xfrm>
                    <a:prstGeom prst="rect">
                      <a:avLst/>
                    </a:prstGeom>
                    <a:ln w="12700">
                      <a:solidFill>
                        <a:srgbClr val="000000"/>
                      </a:solidFill>
                    </a:ln>
                    <a:effectLst/>
                  </pic:spPr>
                </pic:pic>
              </a:graphicData>
            </a:graphic>
          </wp:inline>
        </w:drawing>
      </w:r>
    </w:p>
    <w:p>
      <w:pPr>
        <w:rPr>
          <w:i/>
          <w:iCs/>
        </w:rPr>
      </w:pPr>
      <w:r>
        <w:rPr>
          <w:i/>
          <w:iCs/>
        </w:rPr>
        <w:t xml:space="preserve">Discussion : </w:t>
      </w:r>
    </w:p>
    <w:p/>
    <w:p>
      <w:r>
        <w:t>Data rates information is present in the S1G Capabilities element and the S1G Operation element. BSS membership selector values, not related to rates, may be present in the Supported Rates and BSS Members</w:t>
      </w:r>
      <w:r>
        <w:t>hip Selectors element.</w:t>
      </w:r>
    </w:p>
    <w:p/>
    <w:p>
      <w:pPr>
        <w:rPr>
          <w:b/>
          <w:sz w:val="24"/>
        </w:rPr>
      </w:pPr>
      <w:r>
        <w:rPr>
          <w:i/>
          <w:iCs/>
        </w:rPr>
        <w:t xml:space="preserve">Proposed </w:t>
      </w:r>
      <w:r>
        <w:rPr>
          <w:i/>
          <w:iCs/>
        </w:rPr>
        <w:t>change</w:t>
      </w:r>
      <w:r>
        <w:rPr>
          <w:i/>
          <w:iCs/>
        </w:rPr>
        <w:t xml:space="preserve"> : for clause 9.3.3.5. (Additional proposed change to 11.1.4.6 will follow on next page)</w:t>
      </w:r>
    </w:p>
    <w:p>
      <w:pPr>
        <w:pStyle w:val="H4"/>
        <w:numPr>
          <w:ilvl w:val="0"/>
          <w:numId w:val="1"/>
        </w:numPr>
        <w:rPr>
          <w:w w:val="100"/>
        </w:rPr>
      </w:pPr>
      <w:r>
        <w:rPr>
          <w:w w:val="100"/>
        </w:rPr>
        <w:t>Association Request frame format</w:t>
      </w:r>
    </w:p>
    <w:p>
      <w:pPr>
        <w:pStyle w:val="T"/>
        <w:rPr>
          <w:w w:val="100"/>
        </w:rPr>
      </w:pPr>
      <w:r>
        <w:rPr>
          <w:w w:val="100"/>
        </w:rPr>
        <w:t xml:space="preserve">The frame body of an Association Request frame contains the information shown in </w:t>
      </w:r>
      <w:r>
        <w:fldChar w:fldCharType="begin"/>
      </w:r>
      <w:r>
        <w:instrText xml:space="preserve"> REF  RTF33313832333a205461626c65 \h</w:instrText>
      </w:r>
      <w:r>
        <w:fldChar w:fldCharType="end"/>
      </w:r>
      <w:r>
        <w:rPr>
          <w:w w:val="100"/>
        </w:rPr>
        <w:t>.</w:t>
      </w:r>
    </w:p>
    <w:tbl>
      <w:tblPr>
        <w:tblW w:w="0" w:type="auto"/>
        <w:jc w:val="center"/>
        <w:tblLayout w:type="fixed"/>
        <w:tblCellMar>
          <w:top w:w="100" w:type="dxa"/>
          <w:left w:w="120" w:type="dxa"/>
          <w:bottom w:w="50" w:type="dxa"/>
          <w:right w:w="120" w:type="dxa"/>
        </w:tblCellMar>
        <w:tblLook w:val="04A0"/>
      </w:tblPr>
      <w:tblGrid>
        <w:gridCol w:w="1120"/>
        <w:gridCol w:w="2400"/>
        <w:gridCol w:w="5100"/>
      </w:tblGrid>
      <w:tr>
        <w:trPr>
          <w:jc w:val="center"/>
        </w:trPr>
        <w:tc>
          <w:tcPr>
            <w:cnfStyle w:val="101000000000"/>
            <w:tcW w:w="862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2"/>
              </w:numPr>
              <w:rPr/>
            </w:pPr>
            <w:r>
              <w:rPr>
                <w:w w:val="100"/>
              </w:rPr>
              <w:t>Association Request frame body</w:t>
            </w:r>
            <w:r>
              <w:fldChar w:fldCharType="begin"/>
            </w:r>
            <w:r>
              <w:instrText xml:space="preserve"> FILENAME </w:instrText>
            </w:r>
            <w:r>
              <w:fldChar w:fldCharType="end"/>
            </w:r>
          </w:p>
        </w:tc>
      </w:tr>
      <w:tr>
        <w:trPr>
          <w:trHeight w:val="400"/>
          <w:jc w:val="center"/>
        </w:trPr>
        <w:tc>
          <w:tcPr>
            <w:cnfStyle w:val="001000100000"/>
            <w:tcW w:w="112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Information</w:t>
            </w:r>
          </w:p>
        </w:tc>
        <w:tc>
          <w:tcPr>
            <w:cnfStyle w:val="000000100000"/>
            <w:tcW w:w="5100" w:type="dxa"/>
            <w:tcBorders>
              <w:top w:val="single" w:color="000000" w:sz="10" w:space="0"/>
              <w:left w:val="single" w:color="000000" w:sz="2" w:space="0"/>
              <w:bottom w:val="single" w:color="000000" w:sz="10" w:space="0"/>
              <w:right w:val="single" w:color="000000" w:sz="10" w:space="0"/>
            </w:tcBorders>
            <w:tcMar>
              <w:top w:w="140" w:type="dxa"/>
              <w:left w:w="120" w:type="dxa"/>
              <w:bottom w:w="90" w:type="dxa"/>
              <w:right w:w="120" w:type="dxa"/>
            </w:tcMar>
            <w:vAlign w:val="center"/>
          </w:tcPr>
          <w:p>
            <w:pPr>
              <w:pStyle w:val="CellHeading"/>
              <w:rPr/>
            </w:pPr>
            <w:r>
              <w:rPr>
                <w:w w:val="100"/>
              </w:rPr>
              <w:t>Notes</w:t>
            </w:r>
          </w:p>
        </w:tc>
      </w:tr>
      <w:tr>
        <w:trPr>
          <w:trHeight w:val="520"/>
          <w:jc w:val="center"/>
        </w:trPr>
        <w:tc>
          <w:tcPr>
            <w:cnfStyle w:val="00100001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4</w:t>
            </w:r>
          </w:p>
        </w:tc>
        <w:tc>
          <w:tcPr>
            <w:cnfStyle w:val="00000001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Supported Rates and BSS Membership Selectors</w:t>
            </w:r>
          </w:p>
        </w:tc>
        <w:tc>
          <w:tcPr>
            <w:cnfStyle w:val="000000010000"/>
            <w:tcW w:w="51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n"/>
                <w:w w:val="100"/>
              </w:rPr>
              <w:t>This element is not present if dot11DMGOptionImplemented is true.</w:t>
            </w:r>
            <w:r>
              <w:rPr>
                <w:w w:val="100"/>
              </w:rPr>
              <w:t xml:space="preserve"> </w:t>
            </w:r>
            <w:r>
              <w:rPr>
                <w:w w:val="100"/>
                <w:u w:val="single"/>
              </w:rPr>
              <w:t>See 11.1.4.6.</w:t>
            </w:r>
          </w:p>
        </w:tc>
      </w:tr>
      <w:tr>
        <w:trPr>
          <w:trHeight w:val="320"/>
          <w:jc w:val="center"/>
        </w:trPr>
        <w:tc>
          <w:tcPr>
            <w:cnfStyle w:val="00100010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5</w:t>
            </w:r>
          </w:p>
        </w:tc>
        <w:tc>
          <w:tcPr>
            <w:cnfStyle w:val="0000001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000000100000"/>
            <w:tcW w:w="51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n"/>
                <w:w w:val="100"/>
              </w:rPr>
              <w:t>The Extended Supported Rates and BSS Membership Selectors element is present if there are more than eight supported rates, and it is optional otherwise. This element is not present if dot11DMGOptionImplemented</w:t>
            </w:r>
            <w:r>
              <w:rPr>
                <w:strike w:val="on"/>
                <w:w w:val="100"/>
              </w:rPr>
              <w:t xml:space="preserve"> </w:t>
            </w:r>
            <w:r>
              <w:rPr>
                <w:strike w:val="on"/>
                <w:w w:val="100"/>
              </w:rPr>
              <w:t>is true.</w:t>
            </w:r>
            <w:r>
              <w:rPr>
                <w:w w:val="100"/>
                <w:u w:val="single"/>
              </w:rPr>
              <w:t>See 11.1.4.6.</w:t>
            </w:r>
          </w:p>
        </w:tc>
      </w:tr>
    </w:tbl>
    <w:p>
      <w:pPr>
        <w:rPr>
          <w:b/>
          <w:sz w:val="24"/>
        </w:rPr>
      </w:pPr>
    </w:p>
    <w:p>
      <w:pPr>
        <w:rPr>
          <w:b/>
          <w:sz w:val="24"/>
        </w:rPr>
      </w:pPr>
    </w:p>
    <w:p>
      <w:pPr>
        <w:rPr>
          <w:b/>
          <w:sz w:val="24"/>
        </w:rPr>
      </w:pPr>
      <w:r>
        <w:rPr>
          <w:b/>
          <w:sz w:val="24"/>
        </w:rPr>
        <w:br w:type="page"/>
      </w:r>
    </w:p>
    <w:p>
      <w:pPr>
        <w:rPr>
          <w:i/>
          <w:iCs/>
        </w:rPr>
      </w:pPr>
      <w:r>
        <w:rPr>
          <w:i/>
          <w:iCs/>
        </w:rPr>
        <w:t xml:space="preserve">Proposed </w:t>
      </w:r>
      <w:r>
        <w:rPr>
          <w:i/>
          <w:iCs/>
        </w:rPr>
        <w:t>change</w:t>
      </w:r>
      <w:r>
        <w:rPr>
          <w:i/>
          <w:iCs/>
        </w:rPr>
        <w:t xml:space="preserve"> : for clause 11.1.4.6</w:t>
      </w:r>
    </w:p>
    <w:p>
      <w:pPr>
        <w:rPr>
          <w:b/>
          <w:sz w:val="24"/>
        </w:rPr>
      </w:pPr>
    </w:p>
    <w:p>
      <w:pPr>
        <w:pStyle w:val="H4,1.1.1.1"/>
        <w:framePr w:w="0" w:h="0" w:vAnchor="margin" w:hAnchor="text" w:x="0" w:y="0"/>
        <w:keepNext w:val="on"/>
        <w:numPr>
          <w:ilvl w:val="0"/>
          <w:numId w:val="14"/>
        </w:numPr>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240" w:line="240" w:lineRule="atLeast"/>
        <w:ind w:left="0" w:right="0" w:firstLine="0"/>
        <w:jc w:val="left"/>
        <w:rPr>
          <w:rFonts w:ascii="Arial"/>
          <w:b/>
          <w:i w:val="off"/>
          <w:caps w:val="off"/>
          <w:smallCaps w:val="off"/>
          <w:color w:val="000000"/>
          <w:spacing w:val="0"/>
          <w:w w:val="100"/>
          <w:position w:val="0"/>
          <w:sz w:val="20"/>
          <w:u w:val="none"/>
          <w:vertAlign w:val="baseline"/>
          <w:lang w:val="en-US"/>
        </w:rPr>
      </w:pPr>
      <w:r>
        <w:rPr>
          <w:rFonts w:ascii="Arial"/>
          <w:b/>
          <w:i w:val="off"/>
          <w:caps w:val="off"/>
          <w:smallCaps w:val="off"/>
          <w:color w:val="000000"/>
          <w:spacing w:val="0"/>
          <w:w w:val="100"/>
          <w:position w:val="0"/>
          <w:sz w:val="20"/>
          <w:u w:val="none"/>
          <w:vertAlign w:val="baseline"/>
          <w:lang w:val="en-US"/>
        </w:rPr>
        <w:t>Operation of Supported Rates and BSS Membership Selectors element and Extended Supported Rates and BSS Membership Selectors element</w:t>
      </w:r>
    </w:p>
    <w:p>
      <w:pPr>
        <w:pStyle w:val="T,Text"/>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0" w:line="240" w:lineRule="atLeast"/>
        <w:ind w:left="0" w:right="0" w:firstLine="0"/>
        <w:jc w:val="both"/>
        <w:rPr>
          <w:rFonts w:ascii="Times New Roman"/>
          <w:b w:val="off"/>
          <w:i w:val="off"/>
          <w:caps w:val="off"/>
          <w:smallCaps w:val="off"/>
          <w:color w:val="000000"/>
          <w:spacing w:val="-2"/>
          <w:w w:val="100"/>
          <w:position w:val="0"/>
          <w:sz w:val="20"/>
          <w:u w:val="none"/>
          <w:vertAlign w:val="baseline"/>
          <w:lang w:val="en-US"/>
        </w:rPr>
      </w:pPr>
      <w:r>
        <w:rPr>
          <w:rFonts w:ascii="Times New Roman"/>
          <w:b w:val="off"/>
          <w:i w:val="off"/>
          <w:caps w:val="off"/>
          <w:smallCaps w:val="off"/>
          <w:color w:val="000000"/>
          <w:spacing w:val="-2"/>
          <w:w w:val="100"/>
          <w:position w:val="0"/>
          <w:sz w:val="20"/>
          <w:u w:val="none"/>
          <w:vertAlign w:val="baseline"/>
          <w:lang w:val="en-US"/>
        </w:rPr>
        <w:t>The Supported Rates and BSS Membership Selectors element and Extended Supported Rates and BSS Membership Selectors element in Beacon and Probe Response frames is used by STAs in order to avoid associating with a BSS if they do not support all of the data rates in the BSSBasicRateSet parameter or all of the BSS membership requirements in the BSSMembershipSelectorSet parameter.</w:t>
      </w:r>
    </w:p>
    <w:p>
      <w:pPr>
        <w:pStyle w:val="T,Text"/>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0" w:line="240" w:lineRule="atLeast"/>
        <w:ind w:left="0" w:right="0" w:firstLine="0"/>
        <w:jc w:val="both"/>
        <w:rPr>
          <w:b/>
          <w:strike w:val="on"/>
          <w:sz w:val="24"/>
        </w:rPr>
      </w:pPr>
      <w:r>
        <w:rPr>
          <w:rFonts w:ascii="Times New Roman"/>
          <w:b w:val="off"/>
          <w:i w:val="off"/>
          <w:caps w:val="off"/>
          <w:smallCaps w:val="off"/>
          <w:strike w:val="on"/>
          <w:color w:val="000000"/>
          <w:spacing w:val="-2"/>
          <w:w w:val="100"/>
          <w:position w:val="0"/>
          <w:sz w:val="20"/>
          <w:u w:val="none"/>
          <w:vertAlign w:val="baseline"/>
          <w:lang w:val="en-US"/>
        </w:rPr>
        <w:t>A STA shall include the rates from its OperationalRateSet parameter and the rates from the BSSBasicRateSet parameter and the BSS membership selectors from the BSSMembershipSelectorSet parameter in frames it transmits containing Supported Rates and BSS Membership Selectors elements and Extended Supported Rates and BSS Membership Selectors elements according to the rules described in this subclause, except that a non-AP STA may omit the HT and VHT BSS membership selectors, as the (V)HT capabilities are indicated through the presence of a (V)HT Capabilities element.</w:t>
      </w:r>
    </w:p>
    <w:p>
      <w:pPr>
        <w:pStyle w:val="T,Text"/>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0" w:line="240" w:lineRule="atLeast"/>
        <w:ind w:left="0" w:right="0" w:firstLine="0"/>
        <w:jc w:val="both"/>
        <w:rPr>
          <w:rFonts w:ascii="Times New Roman"/>
          <w:b w:val="off"/>
          <w:i w:val="off"/>
          <w:caps w:val="off"/>
          <w:smallCaps w:val="off"/>
          <w:color w:val="000000"/>
          <w:spacing w:val="-2"/>
          <w:w w:val="100"/>
          <w:position w:val="0"/>
          <w:sz w:val="20"/>
          <w:u w:val="single"/>
          <w:vertAlign w:val="baseline"/>
          <w:lang w:val="en-US"/>
        </w:rPr>
      </w:pPr>
      <w:r>
        <w:rPr>
          <w:rFonts w:ascii="Times New Roman"/>
          <w:b w:val="off"/>
          <w:i w:val="off"/>
          <w:caps w:val="off"/>
          <w:smallCaps w:val="off"/>
          <w:color w:val="000000"/>
          <w:spacing w:val="-2"/>
          <w:w w:val="100"/>
          <w:position w:val="0"/>
          <w:sz w:val="20"/>
          <w:u w:val="single"/>
          <w:vertAlign w:val="baseline"/>
          <w:lang w:val="en-US"/>
        </w:rPr>
        <w:t>A STA shall include the rates from its OperationalRateSet parameter and the rates from the BSSBasicRateSet parameter and the BSS membership selectors from the BSSMembershipSelectorSet parameter in frames it transmits containing Supported Rates and BSS Membership Selectors elements and Extended Supported Rates and BSS Membership Selectors elements according to the rules described in this subclause with the following exceptions:</w:t>
      </w:r>
    </w:p>
    <w:p>
      <w:pPr>
        <w:pStyle w:val="T,Text"/>
        <w:framePr w:w="0" w:h="0" w:vAnchor="margin" w:hAnchor="text" w:x="0" w:y="0"/>
        <w:numPr>
          <w:ilvl w:val="0"/>
          <w:numId w:val="15"/>
        </w:numPr>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0" w:line="240" w:lineRule="atLeast"/>
        <w:jc w:val="both"/>
        <w:rPr>
          <w:rFonts w:ascii="Times New Roman"/>
          <w:b w:val="off"/>
          <w:i w:val="off"/>
          <w:caps w:val="off"/>
          <w:smallCaps w:val="off"/>
          <w:color w:val="000000"/>
          <w:spacing w:val="-2"/>
          <w:w w:val="100"/>
          <w:position w:val="0"/>
          <w:sz w:val="20"/>
          <w:u w:val="single"/>
          <w:vertAlign w:val="baseline"/>
          <w:lang w:val="en-US"/>
        </w:rPr>
      </w:pPr>
      <w:r>
        <w:rPr>
          <w:rFonts w:ascii="Times New Roman"/>
          <w:b w:val="off"/>
          <w:i w:val="off"/>
          <w:caps w:val="off"/>
          <w:smallCaps w:val="off"/>
          <w:color w:val="000000"/>
          <w:spacing w:val="-2"/>
          <w:w w:val="100"/>
          <w:position w:val="0"/>
          <w:sz w:val="20"/>
          <w:u w:val="single"/>
          <w:vertAlign w:val="baseline"/>
          <w:lang w:val="en-US"/>
        </w:rPr>
        <w:t>A non-AP STA may omit the HT and VHT BSS membership selectors, as the (V)HT capabilities are indicated through the presence of a (V)HT Capabilities element.</w:t>
      </w:r>
    </w:p>
    <w:p>
      <w:pPr>
        <w:pStyle w:val="T,Text"/>
        <w:framePr w:w="0" w:h="0" w:vAnchor="margin" w:hAnchor="text" w:x="0" w:y="0"/>
        <w:numPr>
          <w:ilvl w:val="0"/>
          <w:numId w:val="15"/>
        </w:numPr>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0" w:line="240" w:lineRule="atLeast"/>
        <w:jc w:val="both"/>
        <w:rPr>
          <w:rFonts w:ascii="Times New Roman"/>
          <w:b w:val="off"/>
          <w:i w:val="off"/>
          <w:caps w:val="off"/>
          <w:smallCaps w:val="off"/>
          <w:color w:val="000000"/>
          <w:spacing w:val="-2"/>
          <w:w w:val="100"/>
          <w:position w:val="0"/>
          <w:sz w:val="20"/>
          <w:u w:val="single"/>
          <w:vertAlign w:val="baseline"/>
          <w:lang w:val="en-US"/>
        </w:rPr>
      </w:pPr>
      <w:r>
        <w:rPr>
          <w:rFonts w:ascii="Times New Roman"/>
          <w:b w:val="off"/>
          <w:i w:val="off"/>
          <w:caps w:val="off"/>
          <w:smallCaps w:val="off"/>
          <w:color w:val="000000"/>
          <w:spacing w:val="-2"/>
          <w:w w:val="100"/>
          <w:position w:val="0"/>
          <w:sz w:val="20"/>
          <w:u w:val="single"/>
          <w:vertAlign w:val="baseline"/>
          <w:lang w:val="en-US"/>
        </w:rPr>
        <w:t>The following STAs may omit their supported rates since their rates capabilities are indicated through the presence of Capabilities elements: S1G, TVHT, DMG, CDMG and CMMG.</w:t>
      </w:r>
    </w:p>
    <w:p>
      <w:pPr>
        <w:rPr>
          <w:b/>
          <w:sz w:val="24"/>
        </w:rPr>
      </w:pPr>
      <w:r>
        <w:rPr>
          <w:b/>
          <w:sz w:val="24"/>
        </w:rPr>
        <w:br w:type="page"/>
      </w:r>
    </w:p>
    <w:p>
      <w:pPr>
        <w:rPr>
          <w:b/>
          <w:sz w:val="24"/>
        </w:rPr>
      </w:pPr>
      <w:r>
        <w:rPr>
          <w:b/>
          <w:sz w:val="24"/>
        </w:rPr>
        <w:drawing xmlns:mc="http://schemas.openxmlformats.org/markup-compatibility/2006">
          <wp:inline distT="0" distB="0" distL="118872" distR="118872">
            <wp:extent cx="5941695" cy="4215765"/>
            <wp:effectExtent l="0" t="0" r="25400" b="25400"/>
            <wp:docPr id="38"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7"/>
                    <pic:cNvPicPr>
                      <a:picLocks noGrp="0" noSelect="0" noRot="0" noChangeAspect="1" noMove="0" noResize="0" noAdjustHandles="0" noChangeShapeType="0"/>
                    </pic:cNvPicPr>
                  </pic:nvPicPr>
                  <pic:blipFill>
                    <a:blip r:embed="rId65"/>
                    <a:srcRect/>
                    <a:stretch>
                      <a:fillRect/>
                    </a:stretch>
                  </pic:blipFill>
                  <pic:spPr>
                    <a:xfrm>
                      <a:off x="0" y="0"/>
                      <a:ext cx="5941695" cy="4215765"/>
                    </a:xfrm>
                    <a:prstGeom prst="rect">
                      <a:avLst/>
                    </a:prstGeom>
                    <a:ln w="12700">
                      <a:solidFill>
                        <a:srgbClr val="000000"/>
                      </a:solidFill>
                    </a:ln>
                    <a:effectLst/>
                  </pic:spPr>
                </pic:pic>
              </a:graphicData>
            </a:graphic>
          </wp:inline>
        </w:drawing>
      </w:r>
    </w:p>
    <w:p>
      <w:pPr>
        <w:rPr>
          <w:i/>
          <w:iCs/>
        </w:rPr>
      </w:pPr>
      <w:r>
        <w:rPr>
          <w:i/>
          <w:iCs/>
        </w:rPr>
        <w:t xml:space="preserve">Discussion : </w:t>
      </w:r>
    </w:p>
    <w:p/>
    <w:p>
      <w:r>
        <w:t xml:space="preserve">Data rates information is present in the S1G Capabilities element and the S1G Operation element. BSS membership selector values, not related to rates, may be present in the Supported Rates and BSS </w:t>
      </w:r>
      <w:r>
        <w:t>Membership Selectors element.</w:t>
      </w:r>
    </w:p>
    <w:p/>
    <w:p>
      <w:pPr>
        <w:rPr>
          <w:b/>
          <w:sz w:val="24"/>
        </w:rPr>
      </w:pPr>
      <w:r>
        <w:rPr>
          <w:i/>
          <w:iCs/>
        </w:rPr>
        <w:t>Proposed change :</w:t>
      </w:r>
    </w:p>
    <w:p>
      <w:pPr>
        <w:pStyle w:val="H4"/>
        <w:numPr>
          <w:ilvl w:val="0"/>
          <w:numId w:val="3"/>
        </w:numPr>
        <w:rPr>
          <w:w w:val="100"/>
        </w:rPr>
      </w:pPr>
      <w:r>
        <w:rPr>
          <w:w w:val="100"/>
        </w:rPr>
        <w:t>Association Response frame format</w:t>
      </w:r>
    </w:p>
    <w:p>
      <w:pPr>
        <w:pStyle w:val="T"/>
        <w:rPr>
          <w:w w:val="100"/>
        </w:rPr>
      </w:pPr>
      <w:r>
        <w:rPr>
          <w:w w:val="100"/>
        </w:rPr>
        <w:t xml:space="preserve">The frame body of an Association Response frame contains the information shown in </w:t>
      </w:r>
      <w:r>
        <w:fldChar w:fldCharType="begin"/>
      </w:r>
      <w:r>
        <w:instrText xml:space="preserve"> REF  RTF31323537383a205461626c65 \h</w:instrText>
      </w:r>
      <w:r>
        <w:fldChar w:fldCharType="end"/>
      </w:r>
      <w:r>
        <w:rPr>
          <w:w w:val="100"/>
        </w:rPr>
        <w:t>.</w:t>
      </w:r>
    </w:p>
    <w:tbl>
      <w:tblPr>
        <w:tblW w:w="0" w:type="auto"/>
        <w:jc w:val="center"/>
        <w:tblLayout w:type="fixed"/>
        <w:tblCellMar>
          <w:top w:w="100" w:type="dxa"/>
          <w:left w:w="120" w:type="dxa"/>
          <w:bottom w:w="50" w:type="dxa"/>
          <w:right w:w="120" w:type="dxa"/>
        </w:tblCellMar>
        <w:tblLook w:val="04A0"/>
      </w:tblPr>
      <w:tblGrid>
        <w:gridCol w:w="1200"/>
        <w:gridCol w:w="2400"/>
        <w:gridCol w:w="5000"/>
      </w:tblGrid>
      <w:tr>
        <w:trPr>
          <w:jc w:val="center"/>
        </w:trPr>
        <w:tc>
          <w:tcPr>
            <w:cnfStyle w:val="101000000000"/>
            <w:tcW w:w="860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4"/>
              </w:numPr>
              <w:rPr/>
            </w:pPr>
            <w:r>
              <w:rPr>
                <w:w w:val="100"/>
              </w:rPr>
              <w:t>Association Response frame body</w:t>
            </w:r>
            <w:r>
              <w:fldChar w:fldCharType="begin"/>
            </w:r>
            <w:r>
              <w:instrText xml:space="preserve"> FILENAME </w:instrText>
            </w:r>
            <w:r>
              <w:fldChar w:fldCharType="end"/>
            </w:r>
          </w:p>
        </w:tc>
      </w:tr>
      <w:tr>
        <w:trPr>
          <w:trHeight w:val="400"/>
          <w:jc w:val="center"/>
        </w:trPr>
        <w:tc>
          <w:tcPr>
            <w:cnfStyle w:val="001000100000"/>
            <w:tcW w:w="120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Information</w:t>
            </w:r>
          </w:p>
        </w:tc>
        <w:tc>
          <w:tcPr>
            <w:cnfStyle w:val="000000100000"/>
            <w:tcW w:w="5000" w:type="dxa"/>
            <w:tcBorders>
              <w:top w:val="single" w:color="000000" w:sz="10" w:space="0"/>
              <w:left w:val="single" w:color="000000" w:sz="2" w:space="0"/>
              <w:bottom w:val="single" w:color="000000" w:sz="10" w:space="0"/>
              <w:right w:val="single" w:color="000000" w:sz="10" w:space="0"/>
            </w:tcBorders>
            <w:tcMar>
              <w:top w:w="140" w:type="dxa"/>
              <w:left w:w="120" w:type="dxa"/>
              <w:bottom w:w="90" w:type="dxa"/>
              <w:right w:w="120" w:type="dxa"/>
            </w:tcMar>
            <w:vAlign w:val="center"/>
          </w:tcPr>
          <w:p>
            <w:pPr>
              <w:pStyle w:val="CellHeading"/>
              <w:rPr/>
            </w:pPr>
            <w:r>
              <w:rPr>
                <w:w w:val="100"/>
              </w:rPr>
              <w:t>Notes</w:t>
            </w:r>
          </w:p>
        </w:tc>
      </w:tr>
      <w:tr>
        <w:trPr>
          <w:trHeight w:val="520"/>
          <w:jc w:val="center"/>
        </w:trPr>
        <w:tc>
          <w:tcPr>
            <w:cnfStyle w:val="001000010000"/>
            <w:tcW w:w="120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4</w:t>
            </w:r>
          </w:p>
        </w:tc>
        <w:tc>
          <w:tcPr>
            <w:cnfStyle w:val="00000001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Supported Rates and BSS Membership Selectors</w:t>
            </w:r>
          </w:p>
        </w:tc>
        <w:tc>
          <w:tcPr>
            <w:cnfStyle w:val="00000001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n"/>
                <w:w w:val="100"/>
              </w:rPr>
              <w:t>This field is not present if dot11DMGOptionImplemented is true.</w:t>
            </w:r>
            <w:r>
              <w:rPr>
                <w:w w:val="100"/>
                <w:u w:val="single"/>
              </w:rPr>
              <w:t>See 11.1.4.6.</w:t>
            </w:r>
            <w:r>
              <w:rPr>
                <w:w w:val="100"/>
              </w:rPr>
              <w:t xml:space="preserve"> </w:t>
            </w:r>
          </w:p>
        </w:tc>
      </w:tr>
      <w:tr>
        <w:trPr>
          <w:trHeight w:val="920"/>
          <w:jc w:val="center"/>
        </w:trPr>
        <w:tc>
          <w:tcPr>
            <w:cnfStyle w:val="001000100000"/>
            <w:tcW w:w="120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 xml:space="preserve"> 5</w:t>
            </w:r>
          </w:p>
        </w:tc>
        <w:tc>
          <w:tcPr>
            <w:cnfStyle w:val="0000001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00000010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n"/>
                <w:w w:val="100"/>
              </w:rPr>
              <w:t>The Extended Supported Rates and BSS Membership Selectors element is present if there are more than eight supported rates and is optionally present otherwise. This element is not present if dot11DMGOptionImplemented</w:t>
            </w:r>
            <w:r>
              <w:rPr>
                <w:strike w:val="on"/>
                <w:w w:val="100"/>
              </w:rPr>
              <w:t xml:space="preserve"> </w:t>
            </w:r>
            <w:r>
              <w:rPr>
                <w:strike w:val="on"/>
                <w:w w:val="100"/>
              </w:rPr>
              <w:t>is true.</w:t>
            </w:r>
            <w:r>
              <w:rPr>
                <w:w w:val="100"/>
                <w:u w:val="single"/>
              </w:rPr>
              <w:t>See 11.1.4.6.</w:t>
            </w:r>
          </w:p>
        </w:tc>
      </w:tr>
    </w:tbl>
    <w:p>
      <w:pPr>
        <w:rPr>
          <w:b/>
          <w:sz w:val="24"/>
        </w:rPr>
      </w:pPr>
      <w:r>
        <w:rPr>
          <w:b/>
          <w:sz w:val="24"/>
        </w:rPr>
        <w:br w:type="page"/>
      </w:r>
    </w:p>
    <w:p>
      <w:pPr>
        <w:rPr>
          <w:b/>
          <w:sz w:val="24"/>
        </w:rPr>
      </w:pPr>
      <w:r>
        <w:rPr>
          <w:b/>
          <w:sz w:val="24"/>
        </w:rPr>
        <w:drawing xmlns:mc="http://schemas.openxmlformats.org/markup-compatibility/2006">
          <wp:inline distT="0" distB="0" distL="118872" distR="118872">
            <wp:extent cx="5945505" cy="4198620"/>
            <wp:effectExtent l="0" t="0" r="25400" b="25400"/>
            <wp:docPr id="39"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pic:cNvPicPr>
                      <a:picLocks noGrp="0" noSelect="0" noRot="0" noChangeAspect="1" noMove="0" noResize="0" noAdjustHandles="0" noChangeShapeType="0"/>
                    </pic:cNvPicPr>
                  </pic:nvPicPr>
                  <pic:blipFill>
                    <a:blip r:embed="rId66"/>
                    <a:srcRect/>
                    <a:stretch>
                      <a:fillRect/>
                    </a:stretch>
                  </pic:blipFill>
                  <pic:spPr>
                    <a:xfrm>
                      <a:off x="0" y="0"/>
                      <a:ext cx="5945505" cy="4198620"/>
                    </a:xfrm>
                    <a:prstGeom prst="rect">
                      <a:avLst/>
                    </a:prstGeom>
                    <a:ln w="12700">
                      <a:solidFill>
                        <a:srgbClr val="000000"/>
                      </a:solidFill>
                    </a:ln>
                    <a:effectLst/>
                  </pic:spPr>
                </pic:pic>
              </a:graphicData>
            </a:graphic>
          </wp:inline>
        </w:drawing>
      </w:r>
    </w:p>
    <w:p>
      <w:pPr>
        <w:rPr>
          <w:b/>
          <w:sz w:val="24"/>
        </w:rPr>
      </w:pPr>
    </w:p>
    <w:p>
      <w:pPr>
        <w:rPr>
          <w:i/>
          <w:iCs/>
        </w:rPr>
      </w:pPr>
      <w:r>
        <w:rPr>
          <w:i/>
          <w:iCs/>
        </w:rPr>
        <w:t xml:space="preserve">Discussion : </w:t>
      </w:r>
    </w:p>
    <w:p/>
    <w:p>
      <w:r>
        <w:t xml:space="preserve">Data rates information is present in the S1G Capabilities element and the S1G Operation element. BSS membership selector values, not related to rates, may be present in the Supported Rates and BSS </w:t>
      </w:r>
      <w:r>
        <w:t>Membership Selectors element.</w:t>
      </w:r>
    </w:p>
    <w:p/>
    <w:p>
      <w:pPr>
        <w:rPr>
          <w:b/>
          <w:sz w:val="24"/>
        </w:rPr>
      </w:pPr>
      <w:r>
        <w:rPr>
          <w:i/>
          <w:iCs/>
        </w:rPr>
        <w:t>Proposed change :</w:t>
      </w:r>
    </w:p>
    <w:p>
      <w:pPr>
        <w:pStyle w:val="H4"/>
        <w:numPr>
          <w:ilvl w:val="0"/>
          <w:numId w:val="5"/>
        </w:numPr>
        <w:rPr>
          <w:w w:val="100"/>
        </w:rPr>
      </w:pPr>
      <w:r>
        <w:rPr>
          <w:w w:val="100"/>
        </w:rPr>
        <w:t>Reassociation Request frame format</w:t>
      </w:r>
    </w:p>
    <w:p>
      <w:pPr>
        <w:pStyle w:val="T"/>
        <w:rPr>
          <w:w w:val="100"/>
        </w:rPr>
      </w:pPr>
      <w:r>
        <w:rPr>
          <w:w w:val="100"/>
        </w:rPr>
        <w:t xml:space="preserve">The frame body of a Reassociation Request frame contains the information shown in </w:t>
      </w:r>
      <w:r>
        <w:fldChar w:fldCharType="begin"/>
      </w:r>
      <w:r>
        <w:instrText xml:space="preserve"> REF  RTF33383538353a205461626c65 \h</w:instrText>
      </w:r>
      <w:r>
        <w:fldChar w:fldCharType="end"/>
      </w:r>
      <w:r>
        <w:rPr>
          <w:w w:val="100"/>
        </w:rPr>
        <w:t>.</w:t>
      </w:r>
    </w:p>
    <w:tbl>
      <w:tblPr>
        <w:tblW w:w="0" w:type="auto"/>
        <w:jc w:val="center"/>
        <w:tblLayout w:type="fixed"/>
        <w:tblCellMar>
          <w:top w:w="100" w:type="dxa"/>
          <w:left w:w="120" w:type="dxa"/>
          <w:bottom w:w="50" w:type="dxa"/>
          <w:right w:w="120" w:type="dxa"/>
        </w:tblCellMar>
        <w:tblLook w:val="04A0"/>
      </w:tblPr>
      <w:tblGrid>
        <w:gridCol w:w="1120"/>
        <w:gridCol w:w="2400"/>
        <w:gridCol w:w="5000"/>
      </w:tblGrid>
      <w:tr>
        <w:trPr>
          <w:jc w:val="center"/>
        </w:trPr>
        <w:tc>
          <w:tcPr>
            <w:cnfStyle w:val="101000000000"/>
            <w:tcW w:w="852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6"/>
              </w:numPr>
              <w:rPr/>
            </w:pPr>
            <w:r>
              <w:rPr>
                <w:w w:val="100"/>
              </w:rPr>
              <w:t>Reassociation Request frame body</w:t>
            </w:r>
            <w:r>
              <w:fldChar w:fldCharType="begin"/>
            </w:r>
            <w:r>
              <w:instrText xml:space="preserve"> FILENAME </w:instrText>
            </w:r>
            <w:r>
              <w:fldChar w:fldCharType="end"/>
            </w:r>
          </w:p>
        </w:tc>
      </w:tr>
      <w:tr>
        <w:trPr>
          <w:trHeight w:val="400"/>
          <w:jc w:val="center"/>
        </w:trPr>
        <w:tc>
          <w:tcPr>
            <w:cnfStyle w:val="001000100000"/>
            <w:tcW w:w="112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Information</w:t>
            </w:r>
          </w:p>
        </w:tc>
        <w:tc>
          <w:tcPr>
            <w:cnfStyle w:val="000000100000"/>
            <w:tcW w:w="5000" w:type="dxa"/>
            <w:tcBorders>
              <w:top w:val="single" w:color="000000" w:sz="10" w:space="0"/>
              <w:left w:val="single" w:color="000000" w:sz="2" w:space="0"/>
              <w:bottom w:val="single" w:color="000000" w:sz="10" w:space="0"/>
              <w:right w:val="single" w:color="000000" w:sz="10" w:space="0"/>
            </w:tcBorders>
            <w:tcMar>
              <w:top w:w="140" w:type="dxa"/>
              <w:left w:w="120" w:type="dxa"/>
              <w:bottom w:w="90" w:type="dxa"/>
              <w:right w:w="120" w:type="dxa"/>
            </w:tcMar>
            <w:vAlign w:val="center"/>
          </w:tcPr>
          <w:p>
            <w:pPr>
              <w:pStyle w:val="CellHeading"/>
              <w:rPr/>
            </w:pPr>
            <w:r>
              <w:rPr>
                <w:w w:val="100"/>
              </w:rPr>
              <w:t>Notes</w:t>
            </w:r>
          </w:p>
        </w:tc>
      </w:tr>
      <w:tr>
        <w:trPr>
          <w:trHeight w:val="520"/>
          <w:jc w:val="center"/>
        </w:trPr>
        <w:tc>
          <w:tcPr>
            <w:cnfStyle w:val="00100001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5</w:t>
            </w:r>
          </w:p>
        </w:tc>
        <w:tc>
          <w:tcPr>
            <w:cnfStyle w:val="00000001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Supported Rates and BSS Membership Selectors</w:t>
            </w:r>
          </w:p>
        </w:tc>
        <w:tc>
          <w:tcPr>
            <w:cnfStyle w:val="00000001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n"/>
                <w:w w:val="100"/>
              </w:rPr>
              <w:t>This field is not present if dot11DMGOptionImplemented is true.</w:t>
            </w:r>
            <w:r>
              <w:rPr>
                <w:w w:val="100"/>
              </w:rPr>
              <w:t xml:space="preserve"> </w:t>
            </w:r>
            <w:r>
              <w:rPr>
                <w:w w:val="100"/>
                <w:u w:val="single"/>
              </w:rPr>
              <w:t>See 11.1.4.6.</w:t>
            </w:r>
            <w:r>
              <w:rPr>
                <w:w w:val="100"/>
              </w:rPr>
              <w:t xml:space="preserve"> </w:t>
            </w:r>
          </w:p>
        </w:tc>
      </w:tr>
      <w:tr>
        <w:trPr>
          <w:trHeight w:val="920"/>
          <w:jc w:val="center"/>
        </w:trPr>
        <w:tc>
          <w:tcPr>
            <w:cnfStyle w:val="00100010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6</w:t>
            </w:r>
          </w:p>
        </w:tc>
        <w:tc>
          <w:tcPr>
            <w:cnfStyle w:val="0000001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00000010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n"/>
                <w:w w:val="100"/>
              </w:rPr>
              <w:t>The Extended Supported Rates and BSS Membership Selectors element is present if there are more than eight supported rates, and it is optional otherwise. This element is not present if dot11DMGOptionImplemented</w:t>
            </w:r>
            <w:r>
              <w:rPr>
                <w:strike w:val="on"/>
                <w:w w:val="100"/>
              </w:rPr>
              <w:t xml:space="preserve"> </w:t>
            </w:r>
            <w:r>
              <w:rPr>
                <w:strike w:val="on"/>
                <w:w w:val="100"/>
              </w:rPr>
              <w:t>is true.</w:t>
            </w:r>
            <w:r>
              <w:rPr>
                <w:w w:val="100"/>
                <w:u w:val="single"/>
              </w:rPr>
              <w:t>See 11.1.4.6.</w:t>
            </w:r>
          </w:p>
        </w:tc>
      </w:tr>
    </w:tbl>
    <w:p>
      <w:pPr>
        <w:rPr>
          <w:b/>
          <w:sz w:val="24"/>
        </w:rPr>
      </w:pPr>
      <w:r>
        <w:rPr>
          <w:b/>
          <w:sz w:val="24"/>
        </w:rPr>
        <w:t xml:space="preserve"> </w:t>
      </w:r>
    </w:p>
    <w:p>
      <w:pPr>
        <w:rPr>
          <w:b/>
          <w:sz w:val="24"/>
        </w:rPr>
      </w:pPr>
    </w:p>
    <w:p>
      <w:pPr>
        <w:rPr>
          <w:b/>
          <w:sz w:val="24"/>
        </w:rPr>
      </w:pPr>
      <w:r>
        <w:rPr>
          <w:b/>
          <w:sz w:val="24"/>
        </w:rPr>
        <w:br w:type="page"/>
      </w:r>
    </w:p>
    <w:p>
      <w:pPr>
        <w:rPr>
          <w:b/>
          <w:sz w:val="24"/>
        </w:rPr>
      </w:pPr>
      <w:r>
        <w:rPr>
          <w:b/>
          <w:sz w:val="24"/>
        </w:rPr>
        <w:drawing xmlns:mc="http://schemas.openxmlformats.org/markup-compatibility/2006">
          <wp:inline distT="0" distB="0" distL="118872" distR="118872">
            <wp:extent cx="5945505" cy="4241165"/>
            <wp:effectExtent l="0" t="0" r="25400" b="25400"/>
            <wp:docPr id="40"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9"/>
                    <pic:cNvPicPr>
                      <a:picLocks noGrp="0" noSelect="0" noRot="0" noChangeAspect="1" noMove="0" noResize="0" noAdjustHandles="0" noChangeShapeType="0"/>
                    </pic:cNvPicPr>
                  </pic:nvPicPr>
                  <pic:blipFill>
                    <a:blip r:embed="rId67"/>
                    <a:srcRect/>
                    <a:stretch>
                      <a:fillRect/>
                    </a:stretch>
                  </pic:blipFill>
                  <pic:spPr>
                    <a:xfrm>
                      <a:off x="0" y="0"/>
                      <a:ext cx="5945505" cy="4241165"/>
                    </a:xfrm>
                    <a:prstGeom prst="rect">
                      <a:avLst/>
                    </a:prstGeom>
                    <a:ln w="12700">
                      <a:solidFill>
                        <a:srgbClr val="000000"/>
                      </a:solidFill>
                    </a:ln>
                    <a:effectLst/>
                  </pic:spPr>
                </pic:pic>
              </a:graphicData>
            </a:graphic>
          </wp:inline>
        </w:drawing>
      </w:r>
    </w:p>
    <w:p>
      <w:pPr>
        <w:rPr>
          <w:i/>
          <w:iCs/>
        </w:rPr>
      </w:pPr>
    </w:p>
    <w:p>
      <w:pPr>
        <w:rPr>
          <w:i/>
          <w:iCs/>
        </w:rPr>
      </w:pPr>
      <w:r>
        <w:rPr>
          <w:i/>
          <w:iCs/>
        </w:rPr>
        <w:t xml:space="preserve">Discussion : </w:t>
      </w:r>
    </w:p>
    <w:p/>
    <w:p>
      <w:r>
        <w:t xml:space="preserve">Data rates information is present in the S1G Capabilities element and the S1G Operation element. BSS membership selector values, not related to rates, may be present in the Supported Rates and BSS </w:t>
      </w:r>
      <w:r>
        <w:t>Membership Selectors element.</w:t>
      </w:r>
    </w:p>
    <w:p/>
    <w:p>
      <w:pPr>
        <w:rPr>
          <w:b/>
          <w:sz w:val="24"/>
        </w:rPr>
      </w:pPr>
      <w:r>
        <w:rPr>
          <w:i/>
          <w:iCs/>
        </w:rPr>
        <w:t>Proposed change :</w:t>
      </w:r>
    </w:p>
    <w:p>
      <w:pPr>
        <w:pStyle w:val="H4"/>
        <w:numPr>
          <w:ilvl w:val="0"/>
          <w:numId w:val="7"/>
        </w:numPr>
        <w:rPr>
          <w:w w:val="100"/>
        </w:rPr>
      </w:pPr>
      <w:r>
        <w:rPr>
          <w:w w:val="100"/>
        </w:rPr>
        <w:t>Reassociation Response frame format</w:t>
      </w:r>
    </w:p>
    <w:p>
      <w:pPr>
        <w:pStyle w:val="T"/>
        <w:rPr>
          <w:w w:val="100"/>
        </w:rPr>
      </w:pPr>
      <w:r>
        <w:rPr>
          <w:w w:val="100"/>
        </w:rPr>
        <w:t xml:space="preserve">The frame body of a Reassociation Response frame contains the information shown in </w:t>
      </w:r>
      <w:r>
        <w:fldChar w:fldCharType="begin"/>
      </w:r>
      <w:r>
        <w:instrText xml:space="preserve"> REF  RTF32313634313a205461626c65 \h</w:instrText>
      </w:r>
      <w:r>
        <w:fldChar w:fldCharType="end"/>
      </w:r>
      <w:r>
        <w:rPr>
          <w:w w:val="100"/>
        </w:rPr>
        <w:t>.</w:t>
      </w:r>
    </w:p>
    <w:tbl>
      <w:tblPr>
        <w:tblW w:w="0" w:type="auto"/>
        <w:jc w:val="center"/>
        <w:tblLayout w:type="fixed"/>
        <w:tblCellMar>
          <w:top w:w="100" w:type="dxa"/>
          <w:left w:w="120" w:type="dxa"/>
          <w:bottom w:w="50" w:type="dxa"/>
          <w:right w:w="120" w:type="dxa"/>
        </w:tblCellMar>
        <w:tblLook w:val="04A0"/>
      </w:tblPr>
      <w:tblGrid>
        <w:gridCol w:w="1220"/>
        <w:gridCol w:w="2400"/>
        <w:gridCol w:w="5000"/>
      </w:tblGrid>
      <w:tr>
        <w:trPr>
          <w:jc w:val="center"/>
        </w:trPr>
        <w:tc>
          <w:tcPr>
            <w:cnfStyle w:val="101000000000"/>
            <w:tcW w:w="862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8"/>
              </w:numPr>
              <w:rPr/>
            </w:pPr>
            <w:r>
              <w:rPr>
                <w:w w:val="100"/>
              </w:rPr>
              <w:t>Reassociation Response frame body</w:t>
            </w:r>
            <w:r>
              <w:fldChar w:fldCharType="begin"/>
            </w:r>
            <w:r>
              <w:instrText xml:space="preserve"> FILENAME </w:instrText>
            </w:r>
            <w:r>
              <w:fldChar w:fldCharType="end"/>
            </w:r>
          </w:p>
        </w:tc>
      </w:tr>
      <w:tr>
        <w:trPr>
          <w:trHeight w:val="400"/>
          <w:jc w:val="center"/>
        </w:trPr>
        <w:tc>
          <w:tcPr>
            <w:cnfStyle w:val="001000100000"/>
            <w:tcW w:w="122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Information</w:t>
            </w:r>
          </w:p>
        </w:tc>
        <w:tc>
          <w:tcPr>
            <w:cnfStyle w:val="000000100000"/>
            <w:tcW w:w="5000" w:type="dxa"/>
            <w:tcBorders>
              <w:top w:val="single" w:color="000000" w:sz="10" w:space="0"/>
              <w:left w:val="single" w:color="000000" w:sz="2" w:space="0"/>
              <w:bottom w:val="single" w:color="000000" w:sz="10" w:space="0"/>
              <w:right w:val="single" w:color="000000" w:sz="10" w:space="0"/>
            </w:tcBorders>
            <w:tcMar>
              <w:top w:w="140" w:type="dxa"/>
              <w:left w:w="120" w:type="dxa"/>
              <w:bottom w:w="90" w:type="dxa"/>
              <w:right w:w="120" w:type="dxa"/>
            </w:tcMar>
            <w:vAlign w:val="center"/>
          </w:tcPr>
          <w:p>
            <w:pPr>
              <w:pStyle w:val="CellHeading"/>
              <w:rPr/>
            </w:pPr>
            <w:r>
              <w:rPr>
                <w:w w:val="100"/>
              </w:rPr>
              <w:t>Notes</w:t>
            </w:r>
          </w:p>
        </w:tc>
      </w:tr>
      <w:tr>
        <w:trPr>
          <w:trHeight w:val="520"/>
          <w:jc w:val="center"/>
        </w:trPr>
        <w:tc>
          <w:tcPr>
            <w:cnfStyle w:val="001000010000"/>
            <w:tcW w:w="12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4</w:t>
            </w:r>
          </w:p>
        </w:tc>
        <w:tc>
          <w:tcPr>
            <w:cnfStyle w:val="00000001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Supported Rates and BSS Membership Selectors</w:t>
            </w:r>
          </w:p>
        </w:tc>
        <w:tc>
          <w:tcPr>
            <w:cnfStyle w:val="00000001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n"/>
                <w:w w:val="100"/>
              </w:rPr>
              <w:t>This field is not present if dot11DMGOptionImplemented is true.</w:t>
            </w:r>
            <w:r>
              <w:rPr>
                <w:w w:val="100"/>
                <w:u w:val="single"/>
              </w:rPr>
              <w:t>See 11.1.4.6.</w:t>
            </w:r>
            <w:r>
              <w:rPr>
                <w:w w:val="100"/>
              </w:rPr>
              <w:t xml:space="preserve"> </w:t>
            </w:r>
            <w:r>
              <w:rPr>
                <w:w w:val="100"/>
              </w:rPr>
              <w:t xml:space="preserve"> </w:t>
            </w:r>
          </w:p>
        </w:tc>
      </w:tr>
      <w:tr>
        <w:trPr>
          <w:trHeight w:val="920"/>
          <w:jc w:val="center"/>
        </w:trPr>
        <w:tc>
          <w:tcPr>
            <w:cnfStyle w:val="001000100000"/>
            <w:tcW w:w="12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5</w:t>
            </w:r>
          </w:p>
        </w:tc>
        <w:tc>
          <w:tcPr>
            <w:cnfStyle w:val="0000001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00000010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n"/>
                <w:w w:val="100"/>
              </w:rPr>
              <w:t>The Extended Supported Rates and BSS Membership Selectors element is present if there are more than eight supported rates, and it is optional otherwise. This element is not present if dot11DMGOptionImplemented</w:t>
            </w:r>
            <w:r>
              <w:rPr>
                <w:strike w:val="on"/>
                <w:w w:val="100"/>
              </w:rPr>
              <w:t xml:space="preserve"> </w:t>
            </w:r>
            <w:r>
              <w:rPr>
                <w:strike w:val="on"/>
                <w:w w:val="100"/>
              </w:rPr>
              <w:t>is true.</w:t>
            </w:r>
            <w:r>
              <w:rPr>
                <w:w w:val="100"/>
                <w:u w:val="single"/>
              </w:rPr>
              <w:t>See 11.1.4.6.</w:t>
            </w:r>
          </w:p>
        </w:tc>
      </w:tr>
    </w:tbl>
    <w:p>
      <w:pPr>
        <w:rPr>
          <w:b/>
          <w:sz w:val="24"/>
        </w:rPr>
      </w:pPr>
    </w:p>
    <w:p>
      <w:pPr>
        <w:rPr>
          <w:b/>
          <w:sz w:val="24"/>
        </w:rPr>
      </w:pPr>
      <w:r>
        <w:rPr>
          <w:b/>
          <w:sz w:val="24"/>
        </w:rPr>
        <w:br w:type="page"/>
      </w:r>
    </w:p>
    <w:p>
      <w:pPr>
        <w:rPr>
          <w:b/>
          <w:sz w:val="24"/>
        </w:rPr>
      </w:pPr>
      <w:r>
        <w:rPr>
          <w:b/>
          <w:sz w:val="24"/>
        </w:rPr>
        <w:drawing xmlns:mc="http://schemas.openxmlformats.org/markup-compatibility/2006">
          <wp:inline distT="0" distB="0" distL="118872" distR="118872">
            <wp:extent cx="5945505" cy="4026535"/>
            <wp:effectExtent l="0" t="0" r="25400" b="25400"/>
            <wp:docPr id="41"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pic:cNvPicPr>
                      <a:picLocks noGrp="0" noSelect="0" noRot="0" noChangeAspect="1" noMove="0" noResize="0" noAdjustHandles="0" noChangeShapeType="0"/>
                    </pic:cNvPicPr>
                  </pic:nvPicPr>
                  <pic:blipFill>
                    <a:blip r:embed="rId68"/>
                    <a:srcRect/>
                    <a:stretch>
                      <a:fillRect/>
                    </a:stretch>
                  </pic:blipFill>
                  <pic:spPr>
                    <a:xfrm>
                      <a:off x="0" y="0"/>
                      <a:ext cx="5945505" cy="4026535"/>
                    </a:xfrm>
                    <a:prstGeom prst="rect">
                      <a:avLst/>
                    </a:prstGeom>
                    <a:ln w="12700">
                      <a:solidFill>
                        <a:srgbClr val="000000"/>
                      </a:solidFill>
                    </a:ln>
                    <a:effectLst/>
                  </pic:spPr>
                </pic:pic>
              </a:graphicData>
            </a:graphic>
          </wp:inline>
        </w:drawing>
      </w:r>
    </w:p>
    <w:p>
      <w:pPr>
        <w:rPr>
          <w:b/>
          <w:sz w:val="24"/>
        </w:rPr>
      </w:pPr>
    </w:p>
    <w:p>
      <w:pPr>
        <w:rPr>
          <w:i/>
          <w:iCs/>
        </w:rPr>
      </w:pPr>
      <w:r>
        <w:rPr>
          <w:i/>
          <w:iCs/>
        </w:rPr>
        <w:t xml:space="preserve">Discussion : </w:t>
      </w:r>
    </w:p>
    <w:p/>
    <w:p>
      <w:r>
        <w:t xml:space="preserve">Data rates information is present in the S1G Capabilities element and the S1G Operation element. BSS membership selector values, not related to rates, may be present in the Supported Rates and BSS </w:t>
      </w:r>
      <w:r>
        <w:t>Membership Selectors element.</w:t>
      </w:r>
    </w:p>
    <w:p/>
    <w:p>
      <w:pPr>
        <w:rPr>
          <w:b/>
          <w:sz w:val="24"/>
        </w:rPr>
      </w:pPr>
      <w:r>
        <w:rPr>
          <w:i/>
          <w:iCs/>
        </w:rPr>
        <w:t>Proposed change :</w:t>
      </w:r>
    </w:p>
    <w:p>
      <w:pPr>
        <w:rPr>
          <w:b/>
          <w:sz w:val="24"/>
        </w:rPr>
      </w:pPr>
    </w:p>
    <w:p>
      <w:pPr>
        <w:pStyle w:val="H4"/>
        <w:numPr>
          <w:ilvl w:val="0"/>
          <w:numId w:val="9"/>
        </w:numPr>
        <w:rPr>
          <w:w w:val="100"/>
        </w:rPr>
      </w:pPr>
      <w:r>
        <w:rPr>
          <w:w w:val="100"/>
        </w:rPr>
        <w:t>Probe Request frame format</w:t>
      </w:r>
    </w:p>
    <w:p>
      <w:pPr>
        <w:pStyle w:val="T"/>
        <w:rPr>
          <w:w w:val="100"/>
        </w:rPr>
      </w:pPr>
      <w:r>
        <w:rPr>
          <w:spacing w:val="-2"/>
          <w:w w:val="100"/>
        </w:rPr>
        <w:t xml:space="preserve">The  frame  body  of a Probe Request frame contains the information shown in </w:t>
      </w:r>
      <w:r>
        <w:fldChar w:fldCharType="begin"/>
      </w:r>
      <w:r>
        <w:instrText xml:space="preserve"> REF  RTF32353032363a205461626c65 \h</w:instrText>
      </w:r>
      <w:r>
        <w:fldChar w:fldCharType="end"/>
      </w:r>
      <w:r>
        <w:rPr>
          <w:spacing w:val="-2"/>
          <w:w w:val="100"/>
        </w:rPr>
        <w:t>.</w:t>
      </w:r>
    </w:p>
    <w:tbl>
      <w:tblPr>
        <w:tblW w:w="0" w:type="auto"/>
        <w:jc w:val="center"/>
        <w:tblLayout w:type="fixed"/>
        <w:tblCellMar>
          <w:top w:w="100" w:type="dxa"/>
          <w:left w:w="120" w:type="dxa"/>
          <w:bottom w:w="50" w:type="dxa"/>
          <w:right w:w="120" w:type="dxa"/>
        </w:tblCellMar>
        <w:tblLook w:val="04A0"/>
      </w:tblPr>
      <w:tblGrid>
        <w:gridCol w:w="1120"/>
        <w:gridCol w:w="2400"/>
        <w:gridCol w:w="5000"/>
      </w:tblGrid>
      <w:tr>
        <w:trPr>
          <w:jc w:val="center"/>
        </w:trPr>
        <w:tc>
          <w:tcPr>
            <w:cnfStyle w:val="101000000000"/>
            <w:tcW w:w="852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10"/>
              </w:numPr>
              <w:rPr/>
            </w:pPr>
            <w:r>
              <w:rPr>
                <w:w w:val="100"/>
              </w:rPr>
              <w:t>Probe Request frame body</w:t>
            </w:r>
            <w:r>
              <w:rPr>
                <w:rFonts w:ascii="Times New Roman"/>
                <w:b w:val="off"/>
                <w:w w:val="100"/>
              </w:rPr>
              <w:t xml:space="preserve"> </w:t>
            </w:r>
            <w:r>
              <w:fldChar w:fldCharType="begin"/>
            </w:r>
            <w:r>
              <w:instrText xml:space="preserve"> FILENAME </w:instrText>
            </w:r>
            <w:r>
              <w:fldChar w:fldCharType="end"/>
            </w:r>
          </w:p>
        </w:tc>
      </w:tr>
      <w:tr>
        <w:trPr>
          <w:trHeight w:val="400"/>
          <w:jc w:val="center"/>
        </w:trPr>
        <w:tc>
          <w:tcPr>
            <w:cnfStyle w:val="001000100000"/>
            <w:tcW w:w="112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Information</w:t>
            </w:r>
          </w:p>
        </w:tc>
        <w:tc>
          <w:tcPr>
            <w:cnfStyle w:val="000000100000"/>
            <w:tcW w:w="5000" w:type="dxa"/>
            <w:tcBorders>
              <w:top w:val="single" w:color="000000" w:sz="10" w:space="0"/>
              <w:left w:val="single" w:color="000000" w:sz="2" w:space="0"/>
              <w:bottom w:val="single" w:color="000000" w:sz="10" w:space="0"/>
              <w:right w:val="single" w:color="000000" w:sz="10" w:space="0"/>
            </w:tcBorders>
            <w:tcMar>
              <w:top w:w="140" w:type="dxa"/>
              <w:left w:w="120" w:type="dxa"/>
              <w:bottom w:w="90" w:type="dxa"/>
              <w:right w:w="120" w:type="dxa"/>
            </w:tcMar>
            <w:vAlign w:val="center"/>
          </w:tcPr>
          <w:p>
            <w:pPr>
              <w:pStyle w:val="CellHeading"/>
              <w:rPr/>
            </w:pPr>
            <w:r>
              <w:rPr>
                <w:w w:val="100"/>
              </w:rPr>
              <w:t>Notes</w:t>
            </w:r>
          </w:p>
        </w:tc>
      </w:tr>
      <w:tr>
        <w:trPr>
          <w:trHeight w:val="520"/>
          <w:jc w:val="center"/>
        </w:trPr>
        <w:tc>
          <w:tcPr>
            <w:cnfStyle w:val="00100001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Centered"/>
              <w:rPr/>
            </w:pPr>
            <w:r>
              <w:rPr>
                <w:w w:val="100"/>
              </w:rPr>
              <w:t>2</w:t>
            </w:r>
          </w:p>
        </w:tc>
        <w:tc>
          <w:tcPr>
            <w:cnfStyle w:val="00000001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Supported Rates and BSS Membership Selectors</w:t>
            </w:r>
          </w:p>
        </w:tc>
        <w:tc>
          <w:tcPr>
            <w:cnfStyle w:val="00000001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n"/>
                <w:w w:val="100"/>
              </w:rPr>
              <w:t xml:space="preserve">This field is not present if dot11DMGOptionImplemented is true. </w:t>
            </w:r>
            <w:r>
              <w:rPr>
                <w:w w:val="100"/>
                <w:u w:val="single"/>
              </w:rPr>
              <w:t>See 11.1.4.6.</w:t>
            </w:r>
            <w:r>
              <w:rPr>
                <w:w w:val="100"/>
              </w:rPr>
              <w:t xml:space="preserve"> </w:t>
            </w:r>
          </w:p>
        </w:tc>
      </w:tr>
      <w:tr>
        <w:trPr>
          <w:trHeight w:val="920"/>
          <w:jc w:val="center"/>
        </w:trPr>
        <w:tc>
          <w:tcPr>
            <w:cnfStyle w:val="00100010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Centered"/>
              <w:rPr/>
            </w:pPr>
            <w:r>
              <w:rPr>
                <w:w w:val="100"/>
              </w:rPr>
              <w:t>4</w:t>
            </w:r>
          </w:p>
        </w:tc>
        <w:tc>
          <w:tcPr>
            <w:cnfStyle w:val="0000001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00000010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n"/>
                <w:w w:val="100"/>
              </w:rPr>
              <w:t>The Extended Supported Rates and BSS Membership Selectors element is present if there are more than eight supported rates and is optionally present otherwise. This element is not present if dot11DMGOptionImplemented</w:t>
            </w:r>
            <w:r>
              <w:rPr>
                <w:strike w:val="on"/>
                <w:w w:val="100"/>
              </w:rPr>
              <w:t xml:space="preserve"> </w:t>
            </w:r>
            <w:r>
              <w:rPr>
                <w:strike w:val="on"/>
                <w:w w:val="100"/>
              </w:rPr>
              <w:t>is true.</w:t>
            </w:r>
            <w:r>
              <w:rPr>
                <w:w w:val="100"/>
                <w:u w:val="single"/>
              </w:rPr>
              <w:t>See 11.1.4.6.</w:t>
            </w:r>
          </w:p>
        </w:tc>
      </w:tr>
    </w:tbl>
    <w:p>
      <w:pPr>
        <w:rPr>
          <w:b/>
          <w:sz w:val="24"/>
        </w:rPr>
      </w:pPr>
    </w:p>
    <w:p>
      <w:pPr>
        <w:rPr>
          <w:b/>
          <w:sz w:val="24"/>
        </w:rPr>
      </w:pPr>
      <w:r>
        <w:rPr>
          <w:b/>
          <w:sz w:val="24"/>
        </w:rPr>
        <w:br w:type="page"/>
      </w:r>
    </w:p>
    <w:p>
      <w:pPr>
        <w:rPr>
          <w:b/>
          <w:sz w:val="24"/>
        </w:rPr>
      </w:pPr>
      <w:r>
        <w:rPr>
          <w:b/>
          <w:sz w:val="24"/>
        </w:rPr>
        <w:drawing xmlns:mc="http://schemas.openxmlformats.org/markup-compatibility/2006">
          <wp:inline distT="0" distB="0" distL="118872" distR="118872">
            <wp:extent cx="5941695" cy="3996690"/>
            <wp:effectExtent l="0" t="0" r="25400" b="25400"/>
            <wp:docPr id="42"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pic:cNvPicPr>
                      <a:picLocks noGrp="0" noSelect="0" noRot="0" noChangeAspect="1" noMove="0" noResize="0" noAdjustHandles="0" noChangeShapeType="0"/>
                    </pic:cNvPicPr>
                  </pic:nvPicPr>
                  <pic:blipFill>
                    <a:blip r:embed="rId69"/>
                    <a:srcRect/>
                    <a:stretch>
                      <a:fillRect/>
                    </a:stretch>
                  </pic:blipFill>
                  <pic:spPr>
                    <a:xfrm>
                      <a:off x="0" y="0"/>
                      <a:ext cx="5941695" cy="3996690"/>
                    </a:xfrm>
                    <a:prstGeom prst="rect">
                      <a:avLst/>
                    </a:prstGeom>
                    <a:ln w="12700">
                      <a:solidFill>
                        <a:srgbClr val="000000"/>
                      </a:solidFill>
                    </a:ln>
                    <a:effectLst/>
                  </pic:spPr>
                </pic:pic>
              </a:graphicData>
            </a:graphic>
          </wp:inline>
        </w:drawing>
      </w:r>
    </w:p>
    <w:p>
      <w:pPr>
        <w:rPr>
          <w:b/>
          <w:sz w:val="24"/>
        </w:rPr>
      </w:pPr>
    </w:p>
    <w:p>
      <w:pPr>
        <w:rPr>
          <w:i/>
          <w:iCs/>
        </w:rPr>
      </w:pPr>
      <w:r>
        <w:rPr>
          <w:i/>
          <w:iCs/>
        </w:rPr>
        <w:t xml:space="preserve">Discussion : </w:t>
      </w:r>
    </w:p>
    <w:p/>
    <w:p>
      <w:r>
        <w:t xml:space="preserve">Data rates information is present in the S1G Capabilities element and the S1G Operation element. BSS membership selector values, not related to rates, may be present in the Supported Rates and BSS </w:t>
      </w:r>
      <w:r>
        <w:t>Membership Selectors element.</w:t>
      </w:r>
    </w:p>
    <w:p/>
    <w:p>
      <w:pPr>
        <w:rPr>
          <w:b/>
          <w:sz w:val="24"/>
        </w:rPr>
      </w:pPr>
      <w:r>
        <w:rPr>
          <w:i/>
          <w:iCs/>
        </w:rPr>
        <w:t>Proposed change :</w:t>
      </w:r>
    </w:p>
    <w:p>
      <w:pPr>
        <w:pStyle w:val="H4"/>
        <w:numPr>
          <w:ilvl w:val="0"/>
          <w:numId w:val="11"/>
        </w:numPr>
        <w:rPr>
          <w:w w:val="100"/>
        </w:rPr>
      </w:pPr>
      <w:r>
        <w:rPr>
          <w:w w:val="100"/>
        </w:rPr>
        <w:t>Probe Response frame format</w:t>
      </w:r>
    </w:p>
    <w:p>
      <w:pPr>
        <w:pStyle w:val="T"/>
        <w:rPr>
          <w:w w:val="100"/>
        </w:rPr>
      </w:pPr>
      <w:r>
        <w:rPr>
          <w:spacing w:val="-3"/>
          <w:w w:val="100"/>
        </w:rPr>
        <w:t xml:space="preserve">The  frame  body of a Probe Response </w:t>
      </w:r>
      <w:r>
        <w:rPr>
          <w:spacing w:val="-2"/>
          <w:w w:val="100"/>
        </w:rPr>
        <w:t xml:space="preserve">frame </w:t>
      </w:r>
      <w:r>
        <w:rPr>
          <w:spacing w:val="-3"/>
          <w:w w:val="100"/>
        </w:rPr>
        <w:t xml:space="preserve">contains the information shown in </w:t>
      </w:r>
      <w:r>
        <w:fldChar w:fldCharType="begin"/>
      </w:r>
      <w:r>
        <w:instrText xml:space="preserve"> REF RTF32343232343a205461626c65 \h</w:instrText>
      </w:r>
      <w:r>
        <w:fldChar w:fldCharType="end"/>
      </w:r>
      <w:r>
        <w:rPr>
          <w:spacing w:val="-3"/>
          <w:w w:val="100"/>
        </w:rPr>
        <w:t>.</w:t>
      </w:r>
      <w:r>
        <w:rPr>
          <w:w w:val="100"/>
        </w:rPr>
        <w:t xml:space="preserve"> See additional details and procedures in 11.1.4 (Acquiring synchronization, scanning).</w:t>
      </w:r>
    </w:p>
    <w:tbl>
      <w:tblPr>
        <w:tblW w:w="0" w:type="auto"/>
        <w:jc w:val="center"/>
        <w:tblLayout w:type="fixed"/>
        <w:tblCellMar>
          <w:top w:w="100" w:type="dxa"/>
          <w:left w:w="120" w:type="dxa"/>
          <w:bottom w:w="50" w:type="dxa"/>
          <w:right w:w="120" w:type="dxa"/>
        </w:tblCellMar>
        <w:tblLook w:val="04A0"/>
      </w:tblPr>
      <w:tblGrid>
        <w:gridCol w:w="1120"/>
        <w:gridCol w:w="2400"/>
        <w:gridCol w:w="5100"/>
      </w:tblGrid>
      <w:tr>
        <w:trPr>
          <w:jc w:val="center"/>
        </w:trPr>
        <w:tc>
          <w:tcPr>
            <w:cnfStyle w:val="101000000000"/>
            <w:tcW w:w="862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12"/>
              </w:numPr>
              <w:rPr/>
            </w:pPr>
            <w:r>
              <w:rPr>
                <w:w w:val="100"/>
              </w:rPr>
              <w:t>Probe Response frame body</w:t>
            </w:r>
            <w:r>
              <w:fldChar w:fldCharType="begin"/>
            </w:r>
            <w:r>
              <w:instrText xml:space="preserve"> FILENAME </w:instrText>
            </w:r>
            <w:r>
              <w:fldChar w:fldCharType="end"/>
            </w:r>
          </w:p>
        </w:tc>
      </w:tr>
      <w:tr>
        <w:trPr>
          <w:trHeight w:val="420"/>
          <w:jc w:val="center"/>
        </w:trPr>
        <w:tc>
          <w:tcPr>
            <w:cnfStyle w:val="001000100000"/>
            <w:tcW w:w="112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8" w:type="dxa"/>
              <w:left w:w="168" w:type="dxa"/>
              <w:bottom w:w="98" w:type="dxa"/>
              <w:right w:w="168" w:type="dxa"/>
            </w:tcMar>
          </w:tcPr>
          <w:p>
            <w:pPr>
              <w:pBdr>
                <w:top w:val="none" w:sz="4" w:space="0"/>
                <w:left w:val="none" w:sz="4" w:space="0"/>
                <w:bottom w:val="none" w:sz="4" w:space="0"/>
                <w:right w:val="none" w:sz="4" w:space="0"/>
                <w:between w:val="none" w:sz="4" w:space="0"/>
                <w:bar w:val="none" w:sz="4"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color w:val="000000"/>
                <w:w w:val="0"/>
                <w:sz w:val="18"/>
                <w:lang w:val="en-US"/>
              </w:rPr>
            </w:pPr>
            <w:r>
              <w:rPr>
                <w:b/>
                <w:color w:val="000000"/>
                <w:sz w:val="18"/>
                <w:lang w:val="en-US"/>
              </w:rPr>
              <w:t>Information</w:t>
            </w:r>
          </w:p>
        </w:tc>
        <w:tc>
          <w:tcPr>
            <w:cnfStyle w:val="000000100000"/>
            <w:tcW w:w="5100" w:type="dxa"/>
            <w:tcBorders>
              <w:top w:val="single" w:color="000000" w:sz="10" w:space="0"/>
              <w:left w:val="single" w:color="000000" w:sz="2" w:space="0"/>
              <w:bottom w:val="single" w:color="000000" w:sz="10" w:space="0"/>
              <w:right w:val="single" w:color="000000" w:sz="10" w:space="0"/>
            </w:tcBorders>
            <w:tcMar>
              <w:top w:w="148" w:type="dxa"/>
              <w:left w:w="168" w:type="dxa"/>
              <w:bottom w:w="98" w:type="dxa"/>
              <w:right w:w="168" w:type="dxa"/>
            </w:tcMar>
          </w:tcPr>
          <w:p>
            <w:pPr>
              <w:pBdr>
                <w:top w:val="none" w:sz="4" w:space="0"/>
                <w:left w:val="none" w:sz="4" w:space="0"/>
                <w:bottom w:val="none" w:sz="4" w:space="0"/>
                <w:right w:val="none" w:sz="4" w:space="0"/>
                <w:between w:val="none" w:sz="4" w:space="0"/>
                <w:bar w:val="none" w:sz="4"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color w:val="000000"/>
                <w:w w:val="0"/>
                <w:sz w:val="18"/>
                <w:lang w:val="en-US"/>
              </w:rPr>
            </w:pPr>
            <w:r>
              <w:rPr>
                <w:b/>
                <w:color w:val="000000"/>
                <w:sz w:val="18"/>
                <w:lang w:val="en-US"/>
              </w:rPr>
              <w:t>Notes</w:t>
            </w:r>
          </w:p>
        </w:tc>
      </w:tr>
    </w:tbl>
    <w:p>
      <w:pPr>
        <w:rPr>
          <w:b/>
          <w:sz w:val="24"/>
        </w:rPr>
      </w:pPr>
    </w:p>
    <w:tbl>
      <w:tblPr>
        <w:tblW w:w="0" w:type="auto"/>
        <w:jc w:val="center"/>
        <w:tblLayout w:type="fixed"/>
        <w:tblCellMar>
          <w:top w:w="100" w:type="dxa"/>
          <w:left w:w="120" w:type="dxa"/>
          <w:bottom w:w="50" w:type="dxa"/>
          <w:right w:w="120" w:type="dxa"/>
        </w:tblCellMar>
        <w:tblLook w:val="04A0"/>
      </w:tblPr>
      <w:tblGrid>
        <w:gridCol w:w="1120"/>
        <w:gridCol w:w="2400"/>
        <w:gridCol w:w="5100"/>
      </w:tblGrid>
      <w:tr>
        <w:trPr>
          <w:trHeight w:val="520"/>
          <w:jc w:val="center"/>
        </w:trPr>
        <w:tc>
          <w:tcPr>
            <w:cnfStyle w:val="10100000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Centered"/>
              <w:rPr/>
            </w:pPr>
            <w:r>
              <w:rPr>
                <w:w w:val="100"/>
              </w:rPr>
              <w:t>5</w:t>
            </w:r>
          </w:p>
        </w:tc>
        <w:tc>
          <w:tcPr>
            <w:cnfStyle w:val="1000000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 xml:space="preserve">Supported Rates and </w:t>
            </w:r>
            <w:r>
              <w:rPr>
                <w:w w:val="100"/>
              </w:rPr>
              <w:t>BSS Membership Selectors</w:t>
            </w:r>
          </w:p>
        </w:tc>
        <w:tc>
          <w:tcPr>
            <w:cnfStyle w:val="100000000000"/>
            <w:tcW w:w="51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n"/>
                <w:w w:val="100"/>
              </w:rPr>
              <w:t xml:space="preserve">This field is not present if dot11DMGOptionImplemented is true. </w:t>
            </w:r>
            <w:r>
              <w:rPr>
                <w:w w:val="100"/>
                <w:u w:val="single"/>
              </w:rPr>
              <w:t>See 11.1.4.6.</w:t>
            </w:r>
            <w:r>
              <w:rPr>
                <w:w w:val="100"/>
              </w:rPr>
              <w:t xml:space="preserve"> </w:t>
            </w:r>
          </w:p>
        </w:tc>
      </w:tr>
    </w:tbl>
    <w:p>
      <w:pPr>
        <w:rPr>
          <w:b/>
          <w:sz w:val="24"/>
        </w:rPr>
      </w:pPr>
    </w:p>
    <w:tbl>
      <w:tblPr>
        <w:tblW w:w="0" w:type="auto"/>
        <w:jc w:val="center"/>
        <w:tblLayout w:type="fixed"/>
        <w:tblCellMar>
          <w:top w:w="100" w:type="dxa"/>
          <w:left w:w="120" w:type="dxa"/>
          <w:bottom w:w="50" w:type="dxa"/>
          <w:right w:w="120" w:type="dxa"/>
        </w:tblCellMar>
        <w:tblLook w:val="04A0"/>
      </w:tblPr>
      <w:tblGrid>
        <w:gridCol w:w="1120"/>
        <w:gridCol w:w="2400"/>
        <w:gridCol w:w="5100"/>
      </w:tblGrid>
      <w:tr>
        <w:trPr>
          <w:trHeight w:val="920"/>
          <w:jc w:val="center"/>
        </w:trPr>
        <w:tc>
          <w:tcPr>
            <w:cnfStyle w:val="10100000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Centered"/>
              <w:rPr/>
            </w:pPr>
            <w:r>
              <w:rPr>
                <w:w w:val="100"/>
              </w:rPr>
              <w:t>15</w:t>
            </w:r>
          </w:p>
        </w:tc>
        <w:tc>
          <w:tcPr>
            <w:cnfStyle w:val="1000000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100000000000"/>
            <w:tcW w:w="51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strike w:val="on"/>
                <w:w w:val="100"/>
              </w:rPr>
              <w:t xml:space="preserve">The Extended Supported Rates and BSS Membership Selectors element is present if there are more than eight supported rates, and it is optionally present otherwise. This element is not present if dot11DMGOptionImplemented </w:t>
            </w:r>
            <w:r>
              <w:rPr>
                <w:strike w:val="on"/>
                <w:w w:val="100"/>
              </w:rPr>
              <w:t>is true.</w:t>
            </w:r>
            <w:r>
              <w:rPr>
                <w:w w:val="100"/>
                <w:u w:val="single"/>
              </w:rPr>
              <w:t>See 11.1.4.6.</w:t>
            </w:r>
          </w:p>
        </w:tc>
      </w:tr>
    </w:tbl>
    <w:p>
      <w:pPr>
        <w:rPr>
          <w:b/>
          <w:sz w:val="24"/>
        </w:rPr>
      </w:pPr>
      <w:r>
        <w:rPr/>
        <w:br w:type="page"/>
      </w:r>
      <w:r>
        <w:rPr>
          <w:b/>
          <w:sz w:val="24"/>
        </w:rPr>
        <w:t>References:</w:t>
      </w:r>
    </w:p>
    <w:p/>
    <w:sectPr>
      <w:headerReference w:type="default" r:id="rId70"/>
      <w:footerReference w:type="default" r:id="rId71"/>
      <w:pgSz w:w="12240" w:h="15840"/>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A822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03BB" w16cex:dateUtc="2021-09-07T2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A822FC" w16cid:durableId="24E303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DengXian Light">
    <w:altName w:val="等线 Light"/>
    <w:charset w:val="86"/>
    <w:family w:val="auto"/>
    <w:pitch w:val="variable"/>
    <w:sig w:usb0="00000000" w:usb1="38cf7cfa" w:usb2="00000016" w:usb3="00000000" w:csb0="0004000f" w:csb1="00000000"/>
  </w:font>
  <w:font w:name="Courier New">
    <w:panose1 w:val="02070309020205020404"/>
    <w:charset w:val="00"/>
    <w:family w:val="modern"/>
    <w:pitch w:val="fixed"/>
    <w:sig w:usb0="00000000" w:usb1="00000000"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Footer"/>
      <w:tabs>
        <w:tab w:val="clear" w:pos="6480"/>
        <w:tab w:val="center" w:pos="4680"/>
        <w:tab w:val="right" w:pos="9360"/>
      </w:tabs>
      <w:rPr/>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t>2</w:t>
    </w:r>
    <w:r>
      <w:fldChar w:fldCharType="end"/>
    </w:r>
    <w:r>
      <w:tab/>
      <w:t>Dave Halasz</w:t>
    </w:r>
    <w:r>
      <w:fldChar w:fldCharType="begin"/>
    </w:r>
    <w:r>
      <w:instrText xml:space="preserve"> COMMENTS  \* MERGEFORMAT </w:instrText>
    </w:r>
    <w:r>
      <w:fldChar w:fldCharType="separate"/>
    </w:r>
    <w:r>
      <w:t xml:space="preserve">, </w:t>
    </w:r>
    <w:r>
      <w:fldChar w:fldCharType="end"/>
    </w:r>
    <w:r>
      <w:t>Morse Micro</w:t>
    </w:r>
  </w:p>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r>
        <w:rPr/>
        <w:separator/>
      </w:r>
    </w:p>
  </w:footnote>
  <w:footnote w:type="continuationSeparator" w:id="1">
    <w:p>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Header"/>
      <w:tabs>
        <w:tab w:val="clear" w:pos="6480"/>
        <w:tab w:val="center" w:pos="4680"/>
        <w:tab w:val="right" w:pos="9360"/>
      </w:tabs>
      <w:rPr/>
    </w:pPr>
    <w:r>
      <w:t>September</w:t>
    </w:r>
    <w:r>
      <w:fldChar w:fldCharType="begin"/>
    </w:r>
    <w:r>
      <w:instrText xml:space="preserve"> KEYWORDS  \* MERGEFORMAT </w:instrText>
    </w:r>
    <w:r>
      <w:fldChar w:fldCharType="separate"/>
    </w:r>
    <w:r>
      <w:t xml:space="preserve"> </w:t>
    </w:r>
    <w:r>
      <w:fldChar w:fldCharType="end"/>
    </w:r>
    <w:r>
      <w:t>2021</w:t>
    </w:r>
    <w:r>
      <w:tab/>
    </w:r>
    <w:r>
      <w:tab/>
    </w:r>
    <w:r>
      <w:fldChar w:fldCharType="begin"/>
    </w:r>
    <w:r>
      <w:instrText xml:space="preserve"> TITLE  \* MERGEFORMAT </w:instrText>
    </w:r>
    <w:r>
      <w:fldChar w:fldCharType="separate"/>
    </w:r>
    <w:r>
      <w:t>doc.: IEEE 802.11-21/1461r</w:t>
    </w:r>
    <w:r>
      <w:fldChar w:fldCharType="end"/>
    </w:r>
    <w:r>
      <w:t>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8">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2">
    <w:multiLevelType w:val="hybridMultilevel"/>
    <w:lvl w:ilvl="0" w:tentative="0">
      <w:start w:val="1"/>
      <w:numFmt w:val="bullet"/>
      <w:isLgl w:val="off"/>
      <w:suff w:val="tab"/>
      <w:lvlText w:val="-"/>
      <w:lvlJc w:val="left"/>
      <w:pPr>
        <w:ind w:left="720" w:hanging="360"/>
      </w:pPr>
      <w:rPr>
        <w:rFonts w:ascii="Calibri" w:hAnsi="Calibri"/>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3"/>
  <w:abstractNum w:abstractNumId="14">
    <w:multiLevelType w:val="hybridMultilevel"/>
    <w:lvl w:ilvl="0" w:tentative="0">
      <w:start w:val="1"/>
      <w:numFmt w:val="decimal"/>
      <w:isLgl w:val="off"/>
      <w:suff w:val="tab"/>
      <w:lvlText w:val="%1)"/>
      <w:lvlJc w:val="left"/>
      <w:pPr>
        <w:ind w:left="720" w:hanging="360"/>
      </w:pPr>
    </w:lvl>
    <w:lvl w:ilvl="1" w:tentative="0">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num w:numId="1">
    <w:abstractNumId w:val="2"/>
    <w:lvlOverride w:ilvl="0">
      <w:lvl w:ilvl="0" w:tentative="0">
        <w:numFmt w:val="bullet"/>
        <w:lvlText w:val="9.3.3.5 "/>
        <w:lvlJc w:val="left"/>
        <w:rPr>
          <w:rFonts w:ascii="Arial"/>
          <w:sz w:val="20"/>
        </w:rPr>
      </w:lvl>
    </w:lvlOverride>
  </w:num>
  <w:num w:numId="2">
    <w:abstractNumId w:val="7"/>
    <w:lvlOverride w:ilvl="0">
      <w:lvl w:ilvl="0" w:tentative="0">
        <w:numFmt w:val="bullet"/>
        <w:lvlText w:val="Table 9-57—"/>
        <w:lvlJc w:val="left"/>
        <w:rPr>
          <w:rFonts w:ascii="Arial"/>
          <w:sz w:val="20"/>
        </w:rPr>
      </w:lvl>
    </w:lvlOverride>
  </w:num>
  <w:num w:numId="3">
    <w:abstractNumId w:val="4"/>
    <w:lvlOverride w:ilvl="0">
      <w:lvl w:ilvl="0" w:tentative="0">
        <w:numFmt w:val="bullet"/>
        <w:lvlText w:val="9.3.3.6 "/>
        <w:lvlJc w:val="left"/>
        <w:rPr>
          <w:rFonts w:ascii="Arial"/>
          <w:sz w:val="20"/>
        </w:rPr>
      </w:lvl>
    </w:lvlOverride>
  </w:num>
  <w:num w:numId="4">
    <w:abstractNumId w:val="5"/>
    <w:lvlOverride w:ilvl="0">
      <w:lvl w:ilvl="0" w:tentative="0">
        <w:numFmt w:val="bullet"/>
        <w:lvlText w:val="Table 9-58—"/>
        <w:lvlJc w:val="left"/>
        <w:rPr>
          <w:rFonts w:ascii="Arial"/>
          <w:sz w:val="20"/>
        </w:rPr>
      </w:lvl>
    </w:lvlOverride>
  </w:num>
  <w:num w:numId="5">
    <w:abstractNumId w:val="8"/>
    <w:lvlOverride w:ilvl="0">
      <w:lvl w:ilvl="0" w:tentative="0">
        <w:numFmt w:val="bullet"/>
        <w:lvlText w:val="9.3.3.7 "/>
        <w:lvlJc w:val="left"/>
        <w:rPr>
          <w:rFonts w:ascii="Arial"/>
          <w:sz w:val="20"/>
        </w:rPr>
      </w:lvl>
    </w:lvlOverride>
  </w:num>
  <w:num w:numId="6">
    <w:abstractNumId w:val="11"/>
    <w:lvlOverride w:ilvl="0">
      <w:lvl w:ilvl="0" w:tentative="0">
        <w:numFmt w:val="bullet"/>
        <w:lvlText w:val="Table 9-59—"/>
        <w:lvlJc w:val="left"/>
        <w:rPr>
          <w:rFonts w:ascii="Arial"/>
          <w:sz w:val="20"/>
        </w:rPr>
      </w:lvl>
    </w:lvlOverride>
  </w:num>
  <w:num w:numId="7">
    <w:abstractNumId w:val="10"/>
    <w:lvlOverride w:ilvl="0">
      <w:lvl w:ilvl="0" w:tentative="0">
        <w:numFmt w:val="bullet"/>
        <w:lvlText w:val="9.3.3.8 "/>
        <w:lvlJc w:val="left"/>
        <w:rPr>
          <w:rFonts w:ascii="Arial"/>
          <w:sz w:val="20"/>
        </w:rPr>
      </w:lvl>
    </w:lvlOverride>
  </w:num>
  <w:num w:numId="8">
    <w:abstractNumId w:val="9"/>
    <w:lvlOverride w:ilvl="0">
      <w:lvl w:ilvl="0" w:tentative="0">
        <w:numFmt w:val="bullet"/>
        <w:lvlText w:val="Table 9-60—"/>
        <w:lvlJc w:val="left"/>
        <w:rPr>
          <w:rFonts w:ascii="Arial"/>
          <w:sz w:val="20"/>
        </w:rPr>
      </w:lvl>
    </w:lvlOverride>
  </w:num>
  <w:num w:numId="9">
    <w:abstractNumId w:val="0"/>
    <w:lvlOverride w:ilvl="0">
      <w:lvl w:ilvl="0" w:tentative="0">
        <w:numFmt w:val="bullet"/>
        <w:lvlText w:val="9.3.3.9 "/>
        <w:lvlJc w:val="left"/>
        <w:rPr>
          <w:rFonts w:ascii="Arial"/>
          <w:sz w:val="20"/>
        </w:rPr>
      </w:lvl>
    </w:lvlOverride>
  </w:num>
  <w:num w:numId="10">
    <w:abstractNumId w:val="1"/>
    <w:lvlOverride w:ilvl="0">
      <w:lvl w:ilvl="0" w:tentative="0">
        <w:numFmt w:val="bullet"/>
        <w:lvlText w:val="Table 9-61—"/>
        <w:lvlJc w:val="left"/>
        <w:rPr>
          <w:rFonts w:ascii="Arial"/>
          <w:sz w:val="20"/>
        </w:rPr>
      </w:lvl>
    </w:lvlOverride>
  </w:num>
  <w:num w:numId="11">
    <w:abstractNumId w:val="6"/>
    <w:lvlOverride w:ilvl="0">
      <w:lvl w:ilvl="0" w:tentative="0">
        <w:numFmt w:val="bullet"/>
        <w:lvlText w:val="9.3.3.10 "/>
        <w:lvlJc w:val="left"/>
        <w:rPr>
          <w:rFonts w:ascii="Arial"/>
          <w:sz w:val="20"/>
        </w:rPr>
      </w:lvl>
    </w:lvlOverride>
  </w:num>
  <w:num w:numId="12">
    <w:abstractNumId w:val="3"/>
    <w:lvlOverride w:ilvl="0">
      <w:lvl w:ilvl="0" w:tentative="0">
        <w:numFmt w:val="bullet"/>
        <w:lvlText w:val="Table 9-62—"/>
        <w:lvlJc w:val="left"/>
        <w:rPr>
          <w:rFonts w:ascii="Arial"/>
          <w:sz w:val="20"/>
        </w:rPr>
      </w:lvl>
    </w:lvlOverride>
  </w:num>
  <w:num w:numId="13">
    <w:abstractNumId w:val="12"/>
  </w:num>
  <w:num w:numId="14">
    <w:abstractNumId w:val="13"/>
    <w:lvlOverride w:ilvl="0">
      <w:lvl w:ilvl="0" w:tentative="1">
        <w:numFmt w:val="bullet"/>
        <w:lvlText w:val="11.1.4.6 "/>
        <w:rPr>
          <w:rFonts w:ascii="Arial"/>
          <w:sz w:val="20"/>
        </w:rPr>
      </w:lvl>
    </w:lvlOverride>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oodall">
    <w15:presenceInfo w15:providerId="Windows Live" w15:userId="063d6489658b0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BF6"/>
    <w:rsid w:val="002D1AA7"/>
    <w:rsid w:val="00307D07"/>
    <w:rsid w:val="00691194"/>
    <w:rsid w:val="00731545"/>
    <w:rsid w:val="007B4B44"/>
    <w:rsid w:val="008D50BC"/>
    <w:rsid w:val="00942BF6"/>
    <w:rsid w:val="009B3E1D"/>
    <w:rsid w:val="00C24A22"/>
    <w:rsid w:val="00D24545"/>
    <w:rsid w:val="00D87C5F"/>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A15051"/>
  <w15:docId w15:val="{BDB2D99B-66E8-43C4-8CBE-C088C19B0809}"/>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lang w:val="en-AU" w:bidi="ar-SA" w:eastAsia="en-AU"/>
      </w:rPr>
    </w:rPrDefault>
    <w:pPrDefault/>
  </w:docDefaults>
  <w:style w:type="paragraph" w:default="1" w:styleId="Normal">
    <w:name w:val="Normal"/>
    <w:uiPriority w:val="99"/>
    <w:qFormat w:val="on"/>
    <w:rPr>
      <w:sz w:val="22"/>
      <w:lang w:val="en-GB" w:eastAsia="en-US"/>
    </w:rPr>
  </w:style>
  <w:style w:type="paragraph" w:styleId="Heading1">
    <w:name w:val="Heading 1"/>
    <w:basedOn w:val="Normal"/>
    <w:next w:val="Normal"/>
    <w:link w:val="Heading1Char"/>
    <w:uiPriority w:val="9"/>
    <w:qFormat w:val="on"/>
    <w:pPr>
      <w:keepNext w:val="on"/>
      <w:keepLines w:val="on"/>
      <w:spacing w:before="320"/>
    </w:pPr>
    <w:rPr>
      <w:rFonts w:ascii="Arial" w:hAnsi="Arial"/>
      <w:b/>
      <w:sz w:val="32"/>
      <w:u w:val="single"/>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80"/>
    </w:pPr>
    <w:rPr>
      <w:rFonts w:ascii="Arial" w:hAnsi="Arial"/>
      <w:b/>
      <w:sz w:val="28"/>
      <w:u w:val="single"/>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40" w:after="60"/>
    </w:pPr>
    <w:rPr>
      <w:rFonts w:ascii="Arial" w:hAnsi="Arial"/>
      <w:b/>
      <w:sz w:val="24"/>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pPr>
    <w:rPr>
      <w:rFonts w:ascii="Calibri Light" w:eastAsia="DengXian Light" w:hAnsi="Calibri Light"/>
      <w:b/>
      <w:bCs/>
      <w:i/>
      <w:iCs/>
      <w:color w:val="4472c4"/>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pPr>
    <w:rPr>
      <w:rFonts w:ascii="Calibri Light" w:eastAsia="DengXian Light" w:hAnsi="Calibri Light"/>
      <w:color w:val="1f3763"/>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pPr>
    <w:rPr>
      <w:rFonts w:ascii="Calibri Light" w:eastAsia="DengXian Light" w:hAnsi="Calibri Light"/>
      <w:i/>
      <w:iCs/>
      <w:color w:val="1f3763"/>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pPr>
    <w:rPr>
      <w:rFonts w:ascii="Calibri Light" w:eastAsia="DengXian Light" w:hAnsi="Calibri Light"/>
      <w:i/>
      <w:iCs/>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pPr>
    <w:rPr>
      <w:rFonts w:ascii="Calibri Light" w:eastAsia="DengXian Light" w:hAnsi="Calibri Light"/>
      <w:color w:val="404040"/>
      <w:sz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pPr>
    <w:rPr>
      <w:rFonts w:ascii="Calibri Light" w:eastAsia="DengXian Light" w:hAnsi="Calibri Light"/>
      <w:i/>
      <w:iCs/>
      <w:color w:val="404040"/>
      <w:sz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Footer">
    <w:name w:val="Footer"/>
    <w:basedOn w:val="Normal"/>
    <w:link w:val="FooterChar"/>
    <w:uiPriority w:val="99"/>
    <w:pPr>
      <w:pBdr>
        <w:top w:val="single" w:color="000000" w:sz="6" w:space="1"/>
      </w:pBdr>
      <w:tabs>
        <w:tab w:val="center" w:pos="6480"/>
        <w:tab w:val="right" w:pos="12960"/>
      </w:tabs>
    </w:pPr>
    <w:rPr>
      <w:sz w:val="24"/>
    </w:rPr>
  </w:style>
  <w:style w:type="paragraph" w:styleId="Header">
    <w:name w:val="Header"/>
    <w:basedOn w:val="Normal"/>
    <w:link w:val="HeaderChar"/>
    <w:uiPriority w:val="99"/>
    <w:pPr>
      <w:pBdr>
        <w:bottom w:val="single" w:color="000000" w:sz="6" w:space="2"/>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color="000000" w:sz="6" w:space="1"/>
      </w:pBdr>
      <w:tabs>
        <w:tab w:val="center" w:pos="4680"/>
      </w:tabs>
      <w:spacing w:after="240"/>
      <w:jc w:val="left"/>
    </w:pPr>
    <w:rPr>
      <w:b w:val="off"/>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val="on"/>
  </w:style>
  <w:style w:type="character" w:customStyle="1" w:styleId="Heading1Char">
    <w:name w:val="Heading 1 Char"/>
    <w:link w:val="Heading1"/>
    <w:uiPriority w:val="9"/>
    <w:rPr>
      <w:rFonts w:ascii="Calibri Light" w:cs="Times New Roman" w:eastAsia="DengXian Light" w:hAnsi="Calibri Light"/>
      <w:b/>
      <w:bCs/>
      <w:color w:val="2f5496"/>
      <w:sz w:val="28"/>
      <w:szCs w:val="28"/>
    </w:rPr>
  </w:style>
  <w:style w:type="character" w:customStyle="1" w:styleId="Heading2Char">
    <w:name w:val="Heading 2 Char"/>
    <w:link w:val="Heading2"/>
    <w:uiPriority w:val="9"/>
    <w:rPr>
      <w:rFonts w:ascii="Calibri Light" w:cs="Times New Roman" w:eastAsia="DengXian Light" w:hAnsi="Calibri Light"/>
      <w:b/>
      <w:bCs/>
      <w:color w:val="4472c4"/>
      <w:sz w:val="26"/>
      <w:szCs w:val="26"/>
    </w:rPr>
  </w:style>
  <w:style w:type="character" w:customStyle="1" w:styleId="Heading3Char">
    <w:name w:val="Heading 3 Char"/>
    <w:link w:val="Heading3"/>
    <w:uiPriority w:val="9"/>
    <w:rPr>
      <w:rFonts w:ascii="Calibri Light" w:cs="Times New Roman" w:eastAsia="DengXian Light" w:hAnsi="Calibri Light"/>
      <w:b/>
      <w:bCs/>
      <w:color w:val="4472c4"/>
    </w:rPr>
  </w:style>
  <w:style w:type="character" w:customStyle="1" w:styleId="Heading4Char">
    <w:name w:val="Heading 4 Char"/>
    <w:link w:val="Heading4"/>
    <w:uiPriority w:val="9"/>
    <w:rPr>
      <w:rFonts w:ascii="Calibri Light" w:cs="Times New Roman" w:eastAsia="DengXian Light" w:hAnsi="Calibri Light"/>
      <w:b/>
      <w:bCs/>
      <w:i/>
      <w:iCs/>
      <w:color w:val="4472c4"/>
    </w:rPr>
  </w:style>
  <w:style w:type="character" w:customStyle="1" w:styleId="Heading5Char">
    <w:name w:val="Heading 5 Char"/>
    <w:link w:val="Heading5"/>
    <w:uiPriority w:val="9"/>
    <w:rPr>
      <w:rFonts w:ascii="Calibri Light" w:cs="Times New Roman" w:eastAsia="DengXian Light" w:hAnsi="Calibri Light"/>
      <w:color w:val="1f3763"/>
    </w:rPr>
  </w:style>
  <w:style w:type="character" w:customStyle="1" w:styleId="Heading6Char">
    <w:name w:val="Heading 6 Char"/>
    <w:link w:val="Heading6"/>
    <w:uiPriority w:val="9"/>
    <w:rPr>
      <w:rFonts w:ascii="Calibri Light" w:cs="Times New Roman" w:eastAsia="DengXian Light" w:hAnsi="Calibri Light"/>
      <w:i/>
      <w:iCs/>
      <w:color w:val="1f3763"/>
    </w:rPr>
  </w:style>
  <w:style w:type="character" w:customStyle="1" w:styleId="Heading7Char">
    <w:name w:val="Heading 7 Char"/>
    <w:link w:val="Heading7"/>
    <w:uiPriority w:val="9"/>
    <w:rPr>
      <w:rFonts w:ascii="Calibri Light" w:cs="Times New Roman" w:eastAsia="DengXian Light" w:hAnsi="Calibri Light"/>
      <w:i/>
      <w:iCs/>
      <w:color w:val="404040"/>
    </w:rPr>
  </w:style>
  <w:style w:type="character" w:customStyle="1" w:styleId="Heading8Char">
    <w:name w:val="Heading 8 Char"/>
    <w:link w:val="Heading8"/>
    <w:uiPriority w:val="9"/>
    <w:rPr>
      <w:rFonts w:ascii="Calibri Light" w:cs="Times New Roman" w:eastAsia="DengXian Light" w:hAnsi="Calibri Light"/>
      <w:color w:val="404040"/>
      <w:sz w:val="20"/>
      <w:szCs w:val="20"/>
    </w:rPr>
  </w:style>
  <w:style w:type="character" w:customStyle="1" w:styleId="Heading9Char">
    <w:name w:val="Heading 9 Char"/>
    <w:link w:val="Heading9"/>
    <w:uiPriority w:val="9"/>
    <w:rPr>
      <w:rFonts w:ascii="Calibri Light" w:cs="Times New Roman" w:eastAsia="DengXian Light" w:hAnsi="Calibri Light"/>
      <w:i/>
      <w:iCs/>
      <w:color w:val="404040"/>
      <w:sz w:val="20"/>
      <w:szCs w:val="20"/>
    </w:rPr>
  </w:style>
  <w:style w:type="paragraph" w:styleId="Title">
    <w:name w:val="Title"/>
    <w:basedOn w:val="Normal"/>
    <w:next w:val="Normal"/>
    <w:link w:val="TitleChar"/>
    <w:uiPriority w:val="10"/>
    <w:qFormat w:val="on"/>
    <w:pPr>
      <w:pBdr>
        <w:bottom w:val="single" w:color="4472c4" w:sz="8" w:space="4"/>
      </w:pBdr>
      <w:spacing w:after="300"/>
      <w:contextualSpacing w:val="on"/>
    </w:pPr>
    <w:rPr>
      <w:rFonts w:ascii="Calibri Light" w:eastAsia="DengXian Light" w:hAnsi="Calibri Light"/>
      <w:color w:val="323e4f"/>
      <w:spacing w:val="5"/>
      <w:sz w:val="52"/>
      <w:szCs w:val="52"/>
    </w:rPr>
  </w:style>
  <w:style w:type="character" w:customStyle="1" w:styleId="TitleChar">
    <w:name w:val="Title Char"/>
    <w:link w:val="Title"/>
    <w:uiPriority w:val="10"/>
    <w:rPr>
      <w:rFonts w:ascii="Calibri Light" w:cs="Times New Roman" w:eastAsia="DengXian Light" w:hAnsi="Calibri Light"/>
      <w:color w:val="323e4f"/>
      <w:spacing w:val="5"/>
      <w:sz w:val="52"/>
      <w:szCs w:val="52"/>
    </w:rPr>
  </w:style>
  <w:style w:type="paragraph" w:styleId="Subtitle">
    <w:name w:val="Subtitle"/>
    <w:basedOn w:val="Normal"/>
    <w:next w:val="Normal"/>
    <w:link w:val="SubtitleChar"/>
    <w:uiPriority w:val="11"/>
    <w:qFormat w:val="on"/>
    <w:rPr>
      <w:rFonts w:ascii="Calibri Light" w:eastAsia="DengXian Light" w:hAnsi="Calibri Light"/>
      <w:i/>
      <w:iCs/>
      <w:color w:val="4472c4"/>
      <w:spacing w:val="15"/>
      <w:sz w:val="24"/>
      <w:szCs w:val="24"/>
    </w:rPr>
  </w:style>
  <w:style w:type="character" w:customStyle="1" w:styleId="SubtitleChar">
    <w:name w:val="Subtitle Char"/>
    <w:link w:val="Subtitle"/>
    <w:uiPriority w:val="11"/>
    <w:rPr>
      <w:rFonts w:ascii="Calibri Light" w:cs="Times New Roman" w:eastAsia="DengXian Light" w:hAnsi="Calibri Light"/>
      <w:i/>
      <w:iCs/>
      <w:color w:val="4472c4"/>
      <w:spacing w:val="15"/>
      <w:sz w:val="24"/>
      <w:szCs w:val="24"/>
    </w:rPr>
  </w:style>
  <w:style w:type="character" w:styleId="SubtleEmphasis">
    <w:name w:val="Subtle Emphasis"/>
    <w:uiPriority w:val="19"/>
    <w:qFormat w:val="on"/>
    <w:rPr>
      <w:i/>
      <w:iCs/>
      <w:color w:val="808080"/>
    </w:rPr>
  </w:style>
  <w:style w:type="character" w:styleId="Emphasis">
    <w:name w:val="Emphasis"/>
    <w:uiPriority w:val="20"/>
    <w:qFormat w:val="on"/>
    <w:rPr>
      <w:i/>
      <w:iCs/>
    </w:rPr>
  </w:style>
  <w:style w:type="character" w:styleId="IntenseEmphasis">
    <w:name w:val="Intense Emphasis"/>
    <w:uiPriority w:val="21"/>
    <w:qFormat w:val="on"/>
    <w:rPr>
      <w:b/>
      <w:bCs/>
      <w:i/>
      <w:iCs/>
      <w:color w:val="4472c4"/>
    </w:rPr>
  </w:style>
  <w:style w:type="character" w:styleId="Strong">
    <w:name w:val="Strong"/>
    <w:uiPriority w:val="22"/>
    <w:qFormat w:val="on"/>
    <w:rPr>
      <w:b/>
      <w:bCs/>
    </w:rPr>
  </w:style>
  <w:style w:type="paragraph" w:styleId="Quote">
    <w:name w:val="Quote"/>
    <w:basedOn w:val="Normal"/>
    <w:next w:val="Normal"/>
    <w:link w:val="QuoteChar"/>
    <w:uiPriority w:val="29"/>
    <w:qFormat w:val="on"/>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val="on"/>
    <w:pPr>
      <w:pBdr>
        <w:bottom w:val="single" w:color="4472c4" w:sz="4" w:space="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val="on"/>
    <w:rPr>
      <w:smallCaps/>
      <w:color w:val="ed7d31"/>
      <w:u w:val="single"/>
    </w:rPr>
  </w:style>
  <w:style w:type="character" w:styleId="IntenseReference">
    <w:name w:val="Intense Reference"/>
    <w:uiPriority w:val="32"/>
    <w:qFormat w:val="on"/>
    <w:rPr>
      <w:b/>
      <w:bCs/>
      <w:smallCaps/>
      <w:color w:val="ed7d31"/>
      <w:spacing w:val="5"/>
      <w:u w:val="single"/>
    </w:rPr>
  </w:style>
  <w:style w:type="character" w:styleId="BookTitle">
    <w:name w:val="Book Title"/>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rPr>
      <w:sz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rPr>
      <w:sz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val="on"/>
      <w:pBdr>
        <w:top w:val="none" w:sz="4" w:space="0"/>
        <w:left w:val="none" w:sz="4" w:space="0"/>
        <w:bottom w:val="none" w:sz="4" w:space="0"/>
        <w:right w:val="none" w:sz="4" w:space="0"/>
        <w:between w:val="none" w:sz="4" w:space="0"/>
        <w:bar w:val="none" w:sz="4"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val="en-US"/>
    </w:rPr>
  </w:style>
  <w:style w:type="paragraph" w:customStyle="1" w:styleId="T">
    <w:name w:val="T"/>
    <w:uiPriority w:val="99"/>
    <w:pPr>
      <w:pBdr>
        <w:top w:val="none" w:sz="4" w:space="0"/>
        <w:left w:val="none" w:sz="4" w:space="0"/>
        <w:bottom w:val="none" w:sz="4" w:space="0"/>
        <w:right w:val="none" w:sz="4" w:space="0"/>
        <w:between w:val="none" w:sz="4" w:space="0"/>
        <w:bar w:val="none" w:sz="4"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val="en-US"/>
    </w:rPr>
  </w:style>
  <w:style w:type="paragraph" w:customStyle="1" w:styleId="TableTitle">
    <w:name w:val="TableTitle"/>
    <w:next w:val="TableCaption"/>
    <w:uiPriority w:val="99"/>
    <w:pPr>
      <w:pBdr>
        <w:top w:val="none" w:sz="4" w:space="0"/>
        <w:left w:val="none" w:sz="4" w:space="0"/>
        <w:bottom w:val="none" w:sz="4" w:space="0"/>
        <w:right w:val="none" w:sz="4" w:space="0"/>
        <w:between w:val="none" w:sz="4" w:space="0"/>
        <w:bar w:val="none" w:sz="4" w:space="0"/>
      </w:pBdr>
      <w:spacing w:line="240" w:lineRule="atLeast"/>
      <w:jc w:val="center"/>
    </w:pPr>
    <w:rPr>
      <w:rFonts w:ascii="Arial"/>
      <w:b/>
      <w:color w:val="000000"/>
      <w:w w:val="0"/>
      <w:lang w:val="en-US"/>
    </w:rPr>
  </w:style>
  <w:style w:type="paragraph" w:customStyle="1" w:styleId="TableCaption">
    <w:name w:val="TableCaption"/>
    <w:uiPriority w:val="99"/>
    <w:pPr>
      <w:pBdr>
        <w:top w:val="none" w:sz="4" w:space="0"/>
        <w:left w:val="none" w:sz="4" w:space="0"/>
        <w:bottom w:val="none" w:sz="4" w:space="0"/>
        <w:right w:val="none" w:sz="4" w:space="0"/>
        <w:between w:val="none" w:sz="4" w:space="0"/>
        <w:bar w:val="none" w:sz="4" w:space="0"/>
      </w:pBdr>
      <w:spacing w:line="240" w:lineRule="atLeast"/>
      <w:jc w:val="center"/>
    </w:pPr>
    <w:rPr>
      <w:b/>
      <w:color w:val="000000"/>
      <w:w w:val="0"/>
      <w:lang w:val="en-US"/>
    </w:rPr>
  </w:style>
  <w:style w:type="paragraph" w:customStyle="1" w:styleId="CellHeading">
    <w:name w:val="CellHeading"/>
    <w:uiPriority w:val="99"/>
    <w:pPr>
      <w:pBdr>
        <w:top w:val="none" w:sz="4" w:space="0"/>
        <w:left w:val="none" w:sz="4" w:space="0"/>
        <w:bottom w:val="none" w:sz="4" w:space="0"/>
        <w:right w:val="none" w:sz="4" w:space="0"/>
        <w:between w:val="none" w:sz="4" w:space="0"/>
        <w:bar w:val="none" w:sz="4" w:space="0"/>
      </w:pBdr>
      <w:spacing w:line="200" w:lineRule="atLeast"/>
      <w:jc w:val="center"/>
    </w:pPr>
    <w:rPr>
      <w:b/>
      <w:color w:val="000000"/>
      <w:w w:val="0"/>
      <w:sz w:val="18"/>
      <w:lang w:val="en-US"/>
    </w:rPr>
  </w:style>
  <w:style w:type="paragraph" w:customStyle="1" w:styleId="CellBody">
    <w:name w:val="CellBody"/>
    <w:uiPriority w:val="99"/>
    <w:pPr>
      <w:pBdr>
        <w:top w:val="none" w:sz="4" w:space="0"/>
        <w:left w:val="none" w:sz="4" w:space="0"/>
        <w:bottom w:val="none" w:sz="4" w:space="0"/>
        <w:right w:val="none" w:sz="4" w:space="0"/>
        <w:between w:val="none" w:sz="4" w:space="0"/>
        <w:bar w:val="none" w:sz="4" w:space="0"/>
      </w:pBdr>
      <w:spacing w:line="200" w:lineRule="atLeast"/>
    </w:pPr>
    <w:rPr>
      <w:color w:val="000000"/>
      <w:w w:val="0"/>
      <w:sz w:val="18"/>
      <w:lang w:val="en-US"/>
    </w:rPr>
  </w:style>
  <w:style w:type="paragraph" w:customStyle="1" w:styleId="CellBodyCentered">
    <w:name w:val="CellBodyCentered"/>
    <w:uiPriority w:val="99"/>
    <w:pPr>
      <w:pBdr>
        <w:top w:val="none" w:sz="4" w:space="0"/>
        <w:left w:val="none" w:sz="4" w:space="0"/>
        <w:bottom w:val="none" w:sz="4" w:space="0"/>
        <w:right w:val="none" w:sz="4" w:space="0"/>
        <w:between w:val="none" w:sz="4" w:space="0"/>
        <w:bar w:val="none" w:sz="4" w:space="0"/>
      </w:pBdr>
      <w:spacing w:line="200" w:lineRule="atLeast"/>
      <w:jc w:val="center"/>
    </w:pPr>
    <w:rPr>
      <w:color w:val="000000"/>
      <w:w w:val="0"/>
      <w:sz w:val="18"/>
      <w:lang w:val="en-US"/>
    </w:rPr>
  </w:style>
  <w:style w:type="character" w:styleId="Annotationreference">
    <w:name w:val="Annotation reference"/>
    <w:uiPriority w:val="99"/>
    <w:semiHidden w:val="on"/>
    <w:unhideWhenUsed w:val="on"/>
    <w:unhideWhenUsed w:val="on"/>
    <w:rPr>
      <w:sz w:val="16"/>
      <w:szCs w:val="16"/>
    </w:rPr>
  </w:style>
  <w:style w:type="paragraph" w:styleId="Annotationtext">
    <w:name w:val="Annotation text"/>
    <w:basedOn w:val="Normal"/>
    <w:link w:val="CommentTextChar"/>
    <w:uiPriority w:val="99"/>
    <w:semiHidden w:val="on"/>
    <w:unhideWhenUsed w:val="on"/>
    <w:unhideWhenUsed w:val="on"/>
    <w:rPr>
      <w:sz w:val="20"/>
    </w:rPr>
  </w:style>
  <w:style w:type="character" w:customStyle="1" w:styleId="CommentTextChar">
    <w:name w:val="Comment Text Char"/>
    <w:link w:val="Annotationtext"/>
    <w:uiPriority w:val="99"/>
    <w:semiHidden w:val="on"/>
    <w:rPr>
      <w:lang w:val="en-GB" w:eastAsia="en-US"/>
    </w:rPr>
  </w:style>
  <w:style w:type="paragraph" w:styleId="Annotationsubject">
    <w:name w:val="Annotation subject"/>
    <w:basedOn w:val="Annotationtext"/>
    <w:next w:val="Annotationtext"/>
    <w:link w:val="CommentSubjectChar"/>
    <w:uiPriority w:val="99"/>
    <w:semiHidden w:val="on"/>
    <w:unhideWhenUsed w:val="on"/>
    <w:unhideWhenUsed w:val="on"/>
    <w:rPr>
      <w:b/>
      <w:bCs/>
    </w:rPr>
  </w:style>
  <w:style w:type="character" w:customStyle="1" w:styleId="CommentSubjectChar">
    <w:name w:val="Comment Subject Char"/>
    <w:link w:val="Annotationsubject"/>
    <w:uiPriority w:val="99"/>
    <w:semiHidden w:val="on"/>
    <w:rPr>
      <w:b/>
      <w:bCs/>
      <w:lang w:val="en-GB" w:eastAsia="en-US"/>
    </w:rPr>
  </w:style>
  <w:style w:type="paragraph" w:styleId="H4,1.1.1.1">
    <w:name w:val="H4,1.1.1.1"/>
    <w:next w:val="T,Text"/>
    <w:uiPriority w:val="99"/>
    <w:pPr>
      <w:framePr w:w="0" w:h="0" w:vAnchor="margin" w:hAnchor="text" w:x="0" w:y="0"/>
      <w:keepNext w:val="on"/>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240" w:line="240" w:lineRule="atLeast"/>
      <w:ind w:left="0" w:right="0" w:firstLine="0"/>
      <w:jc w:val="left"/>
    </w:pPr>
    <w:rPr>
      <w:rFonts w:ascii="Arial"/>
      <w:b/>
      <w:i w:val="off"/>
      <w:color w:val="000000"/>
      <w:spacing w:val="0"/>
      <w:w w:val="0"/>
      <w:sz w:val="20"/>
      <w:u w:val="none"/>
      <w:lang w:val="en-US"/>
    </w:rPr>
  </w:style>
  <w:style w:type="paragraph" w:styleId="T,Text">
    <w:name w:val="T,Text"/>
    <w:uiPriority w:val="99"/>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0" w:line="240" w:lineRule="atLeast"/>
      <w:ind w:left="0" w:right="0" w:firstLine="0"/>
      <w:jc w:val="both"/>
    </w:pPr>
    <w:rPr>
      <w:rFonts w:ascii="Times New Roman"/>
      <w:b w:val="off"/>
      <w:i w:val="off"/>
      <w:color w:val="000000"/>
      <w:spacing w:val="0"/>
      <w:w w:val="0"/>
      <w:sz w:val="20"/>
      <w:u w:val="none"/>
      <w:lang w:val="en-US"/>
    </w:rPr>
  </w:style>
  <w:style w:type="paragraph" w:styleId="Note">
    <w:name w:val="Note"/>
    <w:uiPriority w:val="99"/>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 w:val="left" w:pos="1440"/>
        <w:tab w:val="left" w:pos="2160"/>
        <w:tab w:val="left" w:pos="2880"/>
        <w:tab w:val="left" w:pos="3600"/>
        <w:tab w:val="left" w:pos="4320"/>
        <w:tab w:val="left" w:pos="5040"/>
        <w:tab w:val="left" w:pos="5760"/>
        <w:tab w:val="left" w:pos="6480"/>
        <w:tab w:val="left" w:pos="7200"/>
        <w:tab w:val="left" w:pos="7920"/>
      </w:tabs>
      <w:bidi w:val="off"/>
      <w:spacing w:before="240" w:after="240" w:line="200" w:lineRule="atLeast"/>
      <w:ind w:left="0" w:right="0" w:firstLine="0"/>
      <w:jc w:val="both"/>
    </w:pPr>
    <w:rPr>
      <w:rFonts w:ascii="Times New Roman"/>
      <w:b w:val="off"/>
      <w:i w:val="off"/>
      <w:color w:val="000000"/>
      <w:spacing w:val="0"/>
      <w:w w:val="0"/>
      <w:sz w:val="18"/>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2" Type="http://schemas.openxmlformats.org/officeDocument/2006/relationships/styles" Target="styles.xml"/><Relationship Id="rId21" Type="http://schemas.openxmlformats.org/officeDocument/2006/relationships/theme" Target="theme/theme1.xml"/><Relationship Id="rId28" Type="http://schemas.openxmlformats.org/officeDocument/2006/relationships/header" Target="header1.xml"/><Relationship Id="rId29" Type="http://schemas.openxmlformats.org/officeDocument/2006/relationships/footer" Target="footer1.xml"/><Relationship Id="rId3" Type="http://schemas.openxmlformats.org/officeDocument/2006/relationships/settings" Target="settings.xml"/><Relationship Id="rId37" Type="http://schemas.openxmlformats.org/officeDocument/2006/relationships/header" Target="header1.xml"/><Relationship Id="rId38" Type="http://schemas.openxmlformats.org/officeDocument/2006/relationships/footer" Target="footer1.xml"/><Relationship Id="rId46" Type="http://schemas.openxmlformats.org/officeDocument/2006/relationships/header" Target="header1.xml"/><Relationship Id="rId47" Type="http://schemas.openxmlformats.org/officeDocument/2006/relationships/footer" Target="footer1.xml"/><Relationship Id="rId48" Type="http://schemas.openxmlformats.org/officeDocument/2006/relationships/image" Target="media/image1.png"/><Relationship Id="rId49" Type="http://schemas.openxmlformats.org/officeDocument/2006/relationships/image" Target="media/image2.png"/><Relationship Id="rId5" Type="http://schemas.openxmlformats.org/officeDocument/2006/relationships/footnotes" Target="footnotes.xml"/><Relationship Id="rId50" Type="http://schemas.openxmlformats.org/officeDocument/2006/relationships/image" Target="media/image3.png"/><Relationship Id="rId51" Type="http://schemas.openxmlformats.org/officeDocument/2006/relationships/image" Target="media/image4.png"/><Relationship Id="rId52" Type="http://schemas.openxmlformats.org/officeDocument/2006/relationships/image" Target="media/image5.png"/><Relationship Id="rId53" Type="http://schemas.openxmlformats.org/officeDocument/2006/relationships/image" Target="media/image6.png"/><Relationship Id="rId54" Type="http://schemas.openxmlformats.org/officeDocument/2006/relationships/header" Target="header1.xml"/><Relationship Id="rId55" Type="http://schemas.openxmlformats.org/officeDocument/2006/relationships/footer" Target="footer1.xml"/><Relationship Id="rId56" Type="http://schemas.openxmlformats.org/officeDocument/2006/relationships/image" Target="media/image1.png"/><Relationship Id="rId57" Type="http://schemas.openxmlformats.org/officeDocument/2006/relationships/image" Target="media/image2.png"/><Relationship Id="rId58" Type="http://schemas.openxmlformats.org/officeDocument/2006/relationships/image" Target="media/image3.png"/><Relationship Id="rId59" Type="http://schemas.openxmlformats.org/officeDocument/2006/relationships/image" Target="media/image4.png"/><Relationship Id="rId6" Type="http://schemas.openxmlformats.org/officeDocument/2006/relationships/endnotes" Target="endnotes.xml"/><Relationship Id="rId60" Type="http://schemas.openxmlformats.org/officeDocument/2006/relationships/image" Target="media/image5.png"/><Relationship Id="rId61" Type="http://schemas.openxmlformats.org/officeDocument/2006/relationships/image" Target="media/image6.png"/><Relationship Id="rId62" Type="http://schemas.openxmlformats.org/officeDocument/2006/relationships/header" Target="header1.xml"/><Relationship Id="rId63" Type="http://schemas.openxmlformats.org/officeDocument/2006/relationships/footer" Target="footer1.xml"/><Relationship Id="rId64" Type="http://schemas.openxmlformats.org/officeDocument/2006/relationships/image" Target="media/image1.png"/><Relationship Id="rId65" Type="http://schemas.openxmlformats.org/officeDocument/2006/relationships/image" Target="media/image2.png"/><Relationship Id="rId66" Type="http://schemas.openxmlformats.org/officeDocument/2006/relationships/image" Target="media/image3.png"/><Relationship Id="rId67" Type="http://schemas.openxmlformats.org/officeDocument/2006/relationships/image" Target="media/image4.png"/><Relationship Id="rId68" Type="http://schemas.openxmlformats.org/officeDocument/2006/relationships/image" Target="media/image5.png"/><Relationship Id="rId69" Type="http://schemas.openxmlformats.org/officeDocument/2006/relationships/image" Target="media/image6.png"/><Relationship Id="rId70" Type="http://schemas.openxmlformats.org/officeDocument/2006/relationships/header" Target="header1.xml"/><Relationship Id="rId71" Type="http://schemas.openxmlformats.org/officeDocument/2006/relationships/footer" Target="footer1.xml"/><Relationship Id="rId4" Type="http://schemas.openxmlformats.org/officeDocument/2006/relationships/webSettings" Target="webSettings.xml"/><Relationship Id="rId7" Type="http://schemas.openxmlformats.org/officeDocument/2006/relationships/image" Target="media/image1.png"/><Relationship Id="rId9" Type="http://schemas.microsoft.com/office/2011/relationships/commentsExtended" Target="commentsExtended.xml"/><Relationship Id="rId10" Type="http://schemas.microsoft.com/office/2016/09/relationships/commentsIds" Target="commentsIds.xml"/><Relationship Id="rId11" Type="http://schemas.microsoft.com/office/2018/08/relationships/commentsExtensible" Target="commentsExtensible.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20" Type="http://schemas.microsoft.com/office/2011/relationships/people" Target="people.xml"/><Relationship Id="rId22" Type="http://schemas.openxmlformats.org/officeDocument/2006/relationships/image" Target="media/image7.png"/><Relationship Id="rId23" Type="http://schemas.openxmlformats.org/officeDocument/2006/relationships/image" Target="media/image8.png"/><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image" Target="media/image12.png"/><Relationship Id="rId31" Type="http://schemas.openxmlformats.org/officeDocument/2006/relationships/image" Target="media/image7.png"/><Relationship Id="rId32" Type="http://schemas.openxmlformats.org/officeDocument/2006/relationships/image" Target="media/image8.png"/><Relationship Id="rId33" Type="http://schemas.openxmlformats.org/officeDocument/2006/relationships/image" Target="media/image9.png"/><Relationship Id="rId34" Type="http://schemas.openxmlformats.org/officeDocument/2006/relationships/image" Target="media/image10.png"/><Relationship Id="rId35" Type="http://schemas.openxmlformats.org/officeDocument/2006/relationships/image" Target="media/image11.png"/><Relationship Id="rId36" Type="http://schemas.openxmlformats.org/officeDocument/2006/relationships/image" Target="media/image12.png"/><Relationship Id="rId40" Type="http://schemas.openxmlformats.org/officeDocument/2006/relationships/image" Target="media/image7.png"/><Relationship Id="rId41" Type="http://schemas.openxmlformats.org/officeDocument/2006/relationships/image" Target="media/image8.png"/><Relationship Id="rId42" Type="http://schemas.openxmlformats.org/officeDocument/2006/relationships/image" Target="media/image9.png"/><Relationship Id="rId43" Type="http://schemas.openxmlformats.org/officeDocument/2006/relationships/image" Target="media/image10.png"/><Relationship Id="rId44" Type="http://schemas.openxmlformats.org/officeDocument/2006/relationships/image" Target="media/image11.png"/><Relationship Id="rId45" Type="http://schemas.openxmlformats.org/officeDocument/2006/relationships/image" Target="media/image12.png"/></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Halasz</cp:lastModifiedBy>
</cp:coreProperties>
</file>