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4227C98" w:rsidR="00BF369F" w:rsidRPr="00A3133E" w:rsidRDefault="00CD267D" w:rsidP="00D12E27">
            <w:pPr>
              <w:pStyle w:val="T2"/>
              <w:rPr>
                <w:b w:val="0"/>
                <w:sz w:val="32"/>
                <w:szCs w:val="32"/>
              </w:rPr>
            </w:pPr>
            <w:r>
              <w:t xml:space="preserve">Comment Resolution </w:t>
            </w:r>
            <w:r w:rsidR="005568F1">
              <w:t xml:space="preserve">subclause </w:t>
            </w:r>
            <w:r w:rsidR="00B759BE">
              <w:t>31.</w:t>
            </w:r>
            <w:r w:rsidR="007D4930">
              <w:t>6</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64DF3782" w:rsidR="006B2826" w:rsidRPr="002F38D6" w:rsidRDefault="00AC3E53" w:rsidP="00712156">
      <w:pPr>
        <w:pStyle w:val="ListParagraph"/>
        <w:numPr>
          <w:ilvl w:val="0"/>
          <w:numId w:val="2"/>
        </w:numPr>
        <w:ind w:leftChars="0"/>
        <w:jc w:val="both"/>
      </w:pPr>
      <w:r w:rsidRPr="002F38D6">
        <w:rPr>
          <w:rFonts w:ascii="Arial" w:eastAsia="Times New Roman" w:hAnsi="Arial" w:cs="Arial"/>
          <w:sz w:val="16"/>
          <w:szCs w:val="16"/>
          <w:lang w:val="en-US"/>
        </w:rPr>
        <w:t>2</w:t>
      </w:r>
      <w:r w:rsidR="007D4930" w:rsidRPr="002F38D6">
        <w:rPr>
          <w:rFonts w:ascii="Arial" w:eastAsia="Times New Roman" w:hAnsi="Arial" w:cs="Arial"/>
          <w:sz w:val="16"/>
          <w:szCs w:val="16"/>
          <w:lang w:val="en-US"/>
        </w:rPr>
        <w:t>171,</w:t>
      </w:r>
      <w:r w:rsidR="002F38D6" w:rsidRPr="002F38D6">
        <w:rPr>
          <w:rFonts w:ascii="Arial" w:eastAsia="Times New Roman" w:hAnsi="Arial" w:cs="Arial"/>
          <w:sz w:val="16"/>
          <w:szCs w:val="16"/>
          <w:lang w:val="en-US"/>
        </w:rPr>
        <w:t>22</w:t>
      </w:r>
      <w:r w:rsidR="002F38D6">
        <w:rPr>
          <w:rFonts w:ascii="Arial" w:eastAsia="Times New Roman" w:hAnsi="Arial" w:cs="Arial"/>
          <w:sz w:val="16"/>
          <w:szCs w:val="16"/>
          <w:lang w:val="en-US"/>
        </w:rPr>
        <w:t>1</w:t>
      </w:r>
      <w:r w:rsidR="002F38D6" w:rsidRPr="002F38D6">
        <w:rPr>
          <w:rFonts w:ascii="Arial" w:eastAsia="Times New Roman" w:hAnsi="Arial" w:cs="Arial"/>
          <w:sz w:val="16"/>
          <w:szCs w:val="16"/>
          <w:lang w:val="en-US"/>
        </w:rPr>
        <w:t>5</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2F38D6"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7CEDC389" w:rsidR="002F38D6" w:rsidRPr="00A65E2C" w:rsidRDefault="002F38D6" w:rsidP="002F38D6">
            <w:pPr>
              <w:rPr>
                <w:rFonts w:ascii="Arial" w:hAnsi="Arial" w:cs="Arial"/>
                <w:b/>
                <w:bCs/>
                <w:sz w:val="20"/>
              </w:rPr>
            </w:pPr>
            <w:r>
              <w:rPr>
                <w:rFonts w:ascii="Arial" w:hAnsi="Arial" w:cs="Arial"/>
                <w:sz w:val="20"/>
              </w:rPr>
              <w:t>2171</w:t>
            </w:r>
          </w:p>
        </w:tc>
        <w:tc>
          <w:tcPr>
            <w:tcW w:w="411" w:type="pct"/>
            <w:tcBorders>
              <w:top w:val="single" w:sz="4" w:space="0" w:color="auto"/>
              <w:left w:val="nil"/>
              <w:bottom w:val="single" w:sz="4" w:space="0" w:color="auto"/>
              <w:right w:val="single" w:sz="4" w:space="0" w:color="auto"/>
            </w:tcBorders>
            <w:shd w:val="clear" w:color="auto" w:fill="auto"/>
          </w:tcPr>
          <w:p w14:paraId="54FC513D" w14:textId="5985B41A" w:rsidR="002F38D6" w:rsidRPr="00A65E2C" w:rsidRDefault="002F38D6" w:rsidP="002F38D6">
            <w:pPr>
              <w:rPr>
                <w:rFonts w:ascii="Arial" w:hAnsi="Arial" w:cs="Arial"/>
                <w:b/>
                <w:bCs/>
                <w:sz w:val="20"/>
              </w:rPr>
            </w:pPr>
            <w:r>
              <w:rPr>
                <w:rFonts w:ascii="Arial" w:hAnsi="Arial" w:cs="Arial"/>
                <w:sz w:val="20"/>
              </w:rPr>
              <w:t>61</w:t>
            </w:r>
          </w:p>
        </w:tc>
        <w:tc>
          <w:tcPr>
            <w:tcW w:w="514" w:type="pct"/>
            <w:tcBorders>
              <w:top w:val="single" w:sz="4" w:space="0" w:color="auto"/>
              <w:left w:val="nil"/>
              <w:bottom w:val="single" w:sz="4" w:space="0" w:color="auto"/>
              <w:right w:val="single" w:sz="4" w:space="0" w:color="auto"/>
            </w:tcBorders>
            <w:shd w:val="clear" w:color="auto" w:fill="auto"/>
          </w:tcPr>
          <w:p w14:paraId="6EC5690C" w14:textId="38349B64" w:rsidR="002F38D6" w:rsidRDefault="002F38D6" w:rsidP="002F38D6">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265BF409" w14:textId="05EA7C42" w:rsidR="002F38D6" w:rsidRPr="00A65E2C" w:rsidRDefault="002F38D6" w:rsidP="002F38D6">
            <w:pPr>
              <w:rPr>
                <w:rFonts w:ascii="Arial" w:hAnsi="Arial" w:cs="Arial"/>
                <w:b/>
                <w:bCs/>
                <w:sz w:val="20"/>
              </w:rPr>
            </w:pPr>
            <w:r>
              <w:rPr>
                <w:rFonts w:ascii="Arial" w:hAnsi="Arial" w:cs="Arial"/>
                <w:sz w:val="20"/>
              </w:rPr>
              <w:t xml:space="preserve">Note that in Annex C.3 MIB Detail the "dot11STAMeasurementPeriod" is defined as "dot11StationMeasurementPeriod".  Hence replace the two </w:t>
            </w:r>
            <w:proofErr w:type="spellStart"/>
            <w:r>
              <w:rPr>
                <w:rFonts w:ascii="Arial" w:hAnsi="Arial" w:cs="Arial"/>
                <w:sz w:val="20"/>
              </w:rPr>
              <w:t>occurences</w:t>
            </w:r>
            <w:proofErr w:type="spellEnd"/>
            <w:r>
              <w:rPr>
                <w:rFonts w:ascii="Arial" w:hAnsi="Arial" w:cs="Arial"/>
                <w:sz w:val="20"/>
              </w:rPr>
              <w:t xml:space="preserve"> of  "dot11STAMeasurementPeriod" with "dot11StationMeasurementPeriod" in this subclause.</w:t>
            </w:r>
          </w:p>
        </w:tc>
        <w:tc>
          <w:tcPr>
            <w:tcW w:w="1182" w:type="pct"/>
            <w:tcBorders>
              <w:top w:val="single" w:sz="4" w:space="0" w:color="auto"/>
              <w:left w:val="nil"/>
              <w:bottom w:val="single" w:sz="4" w:space="0" w:color="auto"/>
              <w:right w:val="single" w:sz="4" w:space="0" w:color="auto"/>
            </w:tcBorders>
            <w:shd w:val="clear" w:color="auto" w:fill="auto"/>
          </w:tcPr>
          <w:p w14:paraId="30ADCEB8" w14:textId="12AC7318" w:rsidR="002F38D6" w:rsidRPr="00A65E2C" w:rsidRDefault="002F38D6" w:rsidP="002F38D6">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B79860C" w14:textId="77777777" w:rsidR="002F38D6" w:rsidRDefault="002F38D6" w:rsidP="002F38D6">
            <w:pPr>
              <w:rPr>
                <w:rFonts w:ascii="Arial" w:hAnsi="Arial" w:cs="Arial"/>
                <w:sz w:val="20"/>
              </w:rPr>
            </w:pPr>
            <w:r>
              <w:rPr>
                <w:rFonts w:ascii="Arial" w:hAnsi="Arial" w:cs="Arial"/>
                <w:sz w:val="20"/>
              </w:rPr>
              <w:t>Revised</w:t>
            </w:r>
          </w:p>
          <w:p w14:paraId="000F9DF4" w14:textId="77777777" w:rsidR="002F38D6" w:rsidRDefault="002F38D6" w:rsidP="002F38D6">
            <w:pPr>
              <w:rPr>
                <w:rFonts w:ascii="Arial" w:hAnsi="Arial" w:cs="Arial"/>
                <w:sz w:val="20"/>
              </w:rPr>
            </w:pPr>
          </w:p>
          <w:p w14:paraId="16E02D55" w14:textId="2BFEE4B6" w:rsidR="002F38D6" w:rsidRPr="008C239B" w:rsidRDefault="002F38D6" w:rsidP="002F38D6">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“ot11STAMeasurementPeriod” with “ot11StationMeasurementPeriod” through the draft.</w:t>
            </w:r>
          </w:p>
        </w:tc>
      </w:tr>
      <w:tr w:rsidR="002F38D6"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0BB377EE" w:rsidR="002F38D6" w:rsidRPr="00A65E2C" w:rsidRDefault="002F38D6" w:rsidP="002F38D6">
            <w:pPr>
              <w:rPr>
                <w:rFonts w:ascii="Arial" w:hAnsi="Arial" w:cs="Arial"/>
                <w:b/>
                <w:bCs/>
                <w:sz w:val="20"/>
              </w:rPr>
            </w:pPr>
            <w:r>
              <w:rPr>
                <w:rFonts w:ascii="Arial" w:hAnsi="Arial" w:cs="Arial"/>
                <w:sz w:val="20"/>
              </w:rPr>
              <w:t>2215</w:t>
            </w:r>
          </w:p>
        </w:tc>
        <w:tc>
          <w:tcPr>
            <w:tcW w:w="411" w:type="pct"/>
            <w:tcBorders>
              <w:top w:val="single" w:sz="4" w:space="0" w:color="auto"/>
              <w:left w:val="nil"/>
              <w:bottom w:val="single" w:sz="4" w:space="0" w:color="auto"/>
              <w:right w:val="single" w:sz="4" w:space="0" w:color="auto"/>
            </w:tcBorders>
            <w:shd w:val="clear" w:color="auto" w:fill="auto"/>
          </w:tcPr>
          <w:p w14:paraId="58CBF424" w14:textId="31A28073" w:rsidR="002F38D6" w:rsidRPr="00A65E2C" w:rsidRDefault="002F38D6" w:rsidP="002F38D6">
            <w:pPr>
              <w:rPr>
                <w:rFonts w:ascii="Arial" w:hAnsi="Arial" w:cs="Arial"/>
                <w:b/>
                <w:bCs/>
                <w:sz w:val="20"/>
              </w:rPr>
            </w:pPr>
            <w:r>
              <w:rPr>
                <w:rFonts w:ascii="Arial" w:hAnsi="Arial" w:cs="Arial"/>
                <w:sz w:val="20"/>
              </w:rPr>
              <w:t>41</w:t>
            </w:r>
          </w:p>
        </w:tc>
        <w:tc>
          <w:tcPr>
            <w:tcW w:w="514" w:type="pct"/>
            <w:tcBorders>
              <w:top w:val="single" w:sz="4" w:space="0" w:color="auto"/>
              <w:left w:val="nil"/>
              <w:bottom w:val="single" w:sz="4" w:space="0" w:color="auto"/>
              <w:right w:val="single" w:sz="4" w:space="0" w:color="auto"/>
            </w:tcBorders>
            <w:shd w:val="clear" w:color="auto" w:fill="auto"/>
          </w:tcPr>
          <w:p w14:paraId="2361F44D" w14:textId="5DC51A61" w:rsidR="002F38D6" w:rsidRDefault="002F38D6" w:rsidP="002F38D6">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7FE60509" w14:textId="21CBFFE4" w:rsidR="002F38D6" w:rsidRPr="00A65E2C" w:rsidRDefault="002F38D6" w:rsidP="002F38D6">
            <w:pPr>
              <w:rPr>
                <w:rFonts w:ascii="Arial" w:hAnsi="Arial" w:cs="Arial"/>
                <w:b/>
                <w:bCs/>
                <w:sz w:val="20"/>
              </w:rPr>
            </w:pPr>
            <w:r>
              <w:rPr>
                <w:rFonts w:ascii="Arial" w:hAnsi="Arial" w:cs="Arial"/>
                <w:sz w:val="20"/>
              </w:rPr>
              <w:t>How does the upper layer request the NGV radio environment reports?  This appears to be a missing MLME primitive.  Or if this is requested through the MIB attribute setting, that should be more clear.  (Also fix/remove typo "up" -&gt; "upper")</w:t>
            </w:r>
          </w:p>
        </w:tc>
        <w:tc>
          <w:tcPr>
            <w:tcW w:w="1182" w:type="pct"/>
            <w:tcBorders>
              <w:top w:val="single" w:sz="4" w:space="0" w:color="auto"/>
              <w:left w:val="nil"/>
              <w:bottom w:val="single" w:sz="4" w:space="0" w:color="auto"/>
              <w:right w:val="single" w:sz="4" w:space="0" w:color="auto"/>
            </w:tcBorders>
            <w:shd w:val="clear" w:color="auto" w:fill="auto"/>
          </w:tcPr>
          <w:p w14:paraId="365C2D05" w14:textId="586CBD62" w:rsidR="002F38D6" w:rsidRPr="00A65E2C" w:rsidRDefault="002F38D6" w:rsidP="002F38D6">
            <w:pPr>
              <w:rPr>
                <w:rFonts w:ascii="Arial" w:hAnsi="Arial" w:cs="Arial"/>
                <w:b/>
                <w:bCs/>
                <w:sz w:val="20"/>
              </w:rPr>
            </w:pPr>
            <w:r>
              <w:rPr>
                <w:rFonts w:ascii="Arial" w:hAnsi="Arial" w:cs="Arial"/>
                <w:sz w:val="20"/>
              </w:rPr>
              <w:t>Add an MLME primitive to request the NGV radio environment reports, or clarify that this control is done through the MIB attributes by changing "If requested by the up (sic) layer" to simply "If dot11...</w:t>
            </w:r>
            <w:proofErr w:type="spellStart"/>
            <w:r>
              <w:rPr>
                <w:rFonts w:ascii="Arial" w:hAnsi="Arial" w:cs="Arial"/>
                <w:sz w:val="20"/>
              </w:rPr>
              <w:t>MeasurementPeriod</w:t>
            </w:r>
            <w:proofErr w:type="spellEnd"/>
            <w:r>
              <w:rPr>
                <w:rFonts w:ascii="Arial" w:hAnsi="Arial" w:cs="Arial"/>
                <w:sz w:val="20"/>
              </w:rPr>
              <w:t xml:space="preserve"> is not equal to 0, the NGV STA shall..."</w:t>
            </w:r>
          </w:p>
        </w:tc>
        <w:tc>
          <w:tcPr>
            <w:tcW w:w="972" w:type="pct"/>
            <w:tcBorders>
              <w:top w:val="single" w:sz="4" w:space="0" w:color="auto"/>
              <w:left w:val="nil"/>
              <w:bottom w:val="single" w:sz="4" w:space="0" w:color="auto"/>
              <w:right w:val="single" w:sz="4" w:space="0" w:color="auto"/>
            </w:tcBorders>
            <w:shd w:val="clear" w:color="auto" w:fill="auto"/>
          </w:tcPr>
          <w:p w14:paraId="18C632E4" w14:textId="133CEC30" w:rsidR="002F38D6" w:rsidRDefault="006B6DA5" w:rsidP="002F38D6">
            <w:pPr>
              <w:rPr>
                <w:rFonts w:ascii="Arial" w:hAnsi="Arial" w:cs="Arial"/>
                <w:sz w:val="20"/>
              </w:rPr>
            </w:pPr>
            <w:r>
              <w:rPr>
                <w:rFonts w:ascii="Arial" w:hAnsi="Arial" w:cs="Arial"/>
                <w:sz w:val="20"/>
              </w:rPr>
              <w:t>Rejected</w:t>
            </w:r>
          </w:p>
          <w:p w14:paraId="205544FB" w14:textId="77777777" w:rsidR="006B6DA5" w:rsidRDefault="006B6DA5" w:rsidP="002F38D6">
            <w:pPr>
              <w:rPr>
                <w:rFonts w:ascii="Arial" w:hAnsi="Arial" w:cs="Arial"/>
                <w:sz w:val="20"/>
              </w:rPr>
            </w:pPr>
          </w:p>
          <w:p w14:paraId="7D3D240A" w14:textId="5D12E715" w:rsidR="006B6DA5" w:rsidRDefault="006B6DA5" w:rsidP="002F38D6">
            <w:pPr>
              <w:rPr>
                <w:rFonts w:ascii="Arial" w:hAnsi="Arial" w:cs="Arial"/>
                <w:sz w:val="20"/>
              </w:rPr>
            </w:pPr>
            <w:r>
              <w:rPr>
                <w:rFonts w:ascii="Arial" w:hAnsi="Arial" w:cs="Arial"/>
                <w:sz w:val="20"/>
              </w:rPr>
              <w:t>Discussion: The radio environment report primitive is defined in subclause 6.6 already.</w:t>
            </w:r>
          </w:p>
          <w:p w14:paraId="0937F14F" w14:textId="233DA6E9" w:rsidR="006B6DA5" w:rsidRPr="008C239B" w:rsidRDefault="006B6DA5" w:rsidP="002F38D6">
            <w:pPr>
              <w:rPr>
                <w:rFonts w:ascii="Arial" w:hAnsi="Arial" w:cs="Arial"/>
                <w:sz w:val="20"/>
              </w:rPr>
            </w:pP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8785E" w14:textId="77777777" w:rsidR="00D42C5A" w:rsidRDefault="00D42C5A">
      <w:r>
        <w:separator/>
      </w:r>
    </w:p>
  </w:endnote>
  <w:endnote w:type="continuationSeparator" w:id="0">
    <w:p w14:paraId="44F654AC" w14:textId="77777777" w:rsidR="00D42C5A" w:rsidRDefault="00D4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0FC5A" w14:textId="77777777" w:rsidR="00D42C5A" w:rsidRDefault="00D42C5A">
      <w:r>
        <w:separator/>
      </w:r>
    </w:p>
  </w:footnote>
  <w:footnote w:type="continuationSeparator" w:id="0">
    <w:p w14:paraId="0168587D" w14:textId="77777777" w:rsidR="00D42C5A" w:rsidRDefault="00D4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104891DF"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D42C5A">
      <w:fldChar w:fldCharType="begin"/>
    </w:r>
    <w:r w:rsidR="00D42C5A">
      <w:instrText xml:space="preserve"> TITLE  \* MERGEFORMAT </w:instrText>
    </w:r>
    <w:r w:rsidR="00D42C5A">
      <w:fldChar w:fldCharType="separate"/>
    </w:r>
    <w:r w:rsidR="00200876">
      <w:t>doc.: IEEE 802.11-2</w:t>
    </w:r>
    <w:r w:rsidR="00C93B31">
      <w:t>1/</w:t>
    </w:r>
    <w:r w:rsidR="00D42C5A">
      <w:fldChar w:fldCharType="end"/>
    </w:r>
    <w:r w:rsidR="002E22DD">
      <w:t>1412</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22DD"/>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2C5A"/>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6</cp:revision>
  <cp:lastPrinted>2010-05-04T03:47:00Z</cp:lastPrinted>
  <dcterms:created xsi:type="dcterms:W3CDTF">2021-08-27T04:05:00Z</dcterms:created>
  <dcterms:modified xsi:type="dcterms:W3CDTF">2021-08-27T18:25:00Z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