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6064DC2" w:rsidR="00B6527E" w:rsidRDefault="00350B72" w:rsidP="00A2662F">
            <w:pPr>
              <w:pStyle w:val="T2"/>
              <w:rPr>
                <w:lang w:eastAsia="zh-CN"/>
              </w:rPr>
            </w:pPr>
            <w:r>
              <w:t>CC36 C</w:t>
            </w:r>
            <w:r w:rsidR="00434A69">
              <w:t xml:space="preserve">R for </w:t>
            </w:r>
            <w:r w:rsidR="007A15AB">
              <w:t>4.3.15c</w:t>
            </w:r>
            <w:r w:rsidR="00FB5027">
              <w:t xml:space="preserve"> EHT STA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305A5950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E322B0">
              <w:rPr>
                <w:b w:val="0"/>
                <w:sz w:val="20"/>
              </w:rPr>
              <w:t>8-12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F719E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8872DF4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530" w:type="dxa"/>
            <w:vAlign w:val="center"/>
          </w:tcPr>
          <w:p w14:paraId="3E512D79" w14:textId="77777777" w:rsidR="00EF719E" w:rsidRPr="00B77FE4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30231C79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Yanyi.ding@sg.panasonic.com</w:t>
            </w:r>
          </w:p>
        </w:tc>
      </w:tr>
      <w:tr w:rsidR="00EF719E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1B3419DD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7134243E" w14:textId="77777777" w:rsidR="00EF719E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BBC84D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11D1B93B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1D929392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000010D6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99C43D4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11628">
                              <w:rPr>
                                <w:lang w:eastAsia="ko-KR"/>
                              </w:rPr>
                              <w:t>1.01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C9493D5" w14:textId="438EFF41" w:rsidR="005B7ADB" w:rsidRDefault="005B7ADB" w:rsidP="00AA31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7A15AB">
                              <w:rPr>
                                <w:lang w:val="en-US"/>
                              </w:rPr>
                              <w:t>6188, 6158, 6114, 4127</w:t>
                            </w:r>
                          </w:p>
                          <w:p w14:paraId="7F7AEFAB" w14:textId="77777777" w:rsidR="00511628" w:rsidRDefault="00511628" w:rsidP="00511628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77777777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99C43D4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11628">
                        <w:rPr>
                          <w:lang w:eastAsia="ko-KR"/>
                        </w:rPr>
                        <w:t>1.01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C9493D5" w14:textId="438EFF41" w:rsidR="005B7ADB" w:rsidRDefault="005B7ADB" w:rsidP="00AA31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7A15AB">
                        <w:rPr>
                          <w:lang w:val="en-US"/>
                        </w:rPr>
                        <w:t>6188, 6158, 6114, 4127</w:t>
                      </w:r>
                    </w:p>
                    <w:p w14:paraId="7F7AEFAB" w14:textId="77777777" w:rsidR="00511628" w:rsidRDefault="00511628" w:rsidP="00511628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77777777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913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89"/>
        <w:gridCol w:w="896"/>
        <w:gridCol w:w="775"/>
        <w:gridCol w:w="2070"/>
        <w:gridCol w:w="2160"/>
        <w:gridCol w:w="2542"/>
      </w:tblGrid>
      <w:tr w:rsidR="00DE7713" w:rsidRPr="00966382" w14:paraId="465D7E89" w14:textId="77777777" w:rsidTr="00E13A87">
        <w:trPr>
          <w:trHeight w:val="699"/>
        </w:trPr>
        <w:tc>
          <w:tcPr>
            <w:tcW w:w="689" w:type="dxa"/>
          </w:tcPr>
          <w:p w14:paraId="047C1A93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96638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896" w:type="dxa"/>
          </w:tcPr>
          <w:p w14:paraId="2BD08578" w14:textId="77777777" w:rsidR="00DE7713" w:rsidRPr="00966382" w:rsidRDefault="00DE7713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75" w:type="dxa"/>
          </w:tcPr>
          <w:p w14:paraId="3030B619" w14:textId="52E1C456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Page.line</w:t>
            </w:r>
            <w:proofErr w:type="spellEnd"/>
          </w:p>
        </w:tc>
        <w:tc>
          <w:tcPr>
            <w:tcW w:w="2070" w:type="dxa"/>
          </w:tcPr>
          <w:p w14:paraId="00AB459C" w14:textId="6D7803A5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160" w:type="dxa"/>
          </w:tcPr>
          <w:p w14:paraId="459A2B11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42" w:type="dxa"/>
          </w:tcPr>
          <w:p w14:paraId="46730A43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DE7713" w:rsidRPr="00966382" w14:paraId="59762130" w14:textId="77777777" w:rsidTr="00E13A87">
        <w:trPr>
          <w:trHeight w:val="358"/>
        </w:trPr>
        <w:tc>
          <w:tcPr>
            <w:tcW w:w="689" w:type="dxa"/>
          </w:tcPr>
          <w:p w14:paraId="0BCC3194" w14:textId="697022CF" w:rsidR="00DE7713" w:rsidRDefault="00E13A87" w:rsidP="006B6F56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6188</w:t>
            </w:r>
          </w:p>
        </w:tc>
        <w:tc>
          <w:tcPr>
            <w:tcW w:w="896" w:type="dxa"/>
          </w:tcPr>
          <w:p w14:paraId="3656D5D1" w14:textId="0C94CF36" w:rsidR="00DE7713" w:rsidRDefault="00E13A87" w:rsidP="006B6F56">
            <w:pPr>
              <w:rPr>
                <w:rFonts w:ascii="Arial" w:hAnsi="Arial" w:cs="Arial"/>
                <w:sz w:val="20"/>
                <w:szCs w:val="20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>4.3.15c</w:t>
            </w:r>
          </w:p>
        </w:tc>
        <w:tc>
          <w:tcPr>
            <w:tcW w:w="775" w:type="dxa"/>
          </w:tcPr>
          <w:p w14:paraId="78E68122" w14:textId="40E0A2D0" w:rsidR="00DE7713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45.11</w:t>
            </w:r>
          </w:p>
        </w:tc>
        <w:tc>
          <w:tcPr>
            <w:tcW w:w="2070" w:type="dxa"/>
          </w:tcPr>
          <w:p w14:paraId="5B9BF2FB" w14:textId="7E9CD70B" w:rsidR="00DE7713" w:rsidRPr="006B6F56" w:rsidRDefault="00E13A87" w:rsidP="006B6F5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 xml:space="preserve">This amendment defines a capability variable "dot11EHTBaseLineFeaturesImplementedOnly" and ties it to </w:t>
            </w:r>
            <w:proofErr w:type="spellStart"/>
            <w:proofErr w:type="gramStart"/>
            <w:r w:rsidRPr="00E13A87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E13A87">
              <w:rPr>
                <w:rFonts w:ascii="Arial" w:hAnsi="Arial" w:cs="Arial"/>
                <w:sz w:val="20"/>
                <w:szCs w:val="20"/>
              </w:rPr>
              <w:t>, but</w:t>
            </w:r>
            <w:proofErr w:type="gramEnd"/>
            <w:r w:rsidRPr="00E13A87">
              <w:rPr>
                <w:rFonts w:ascii="Arial" w:hAnsi="Arial" w:cs="Arial"/>
                <w:sz w:val="20"/>
                <w:szCs w:val="20"/>
              </w:rPr>
              <w:t xml:space="preserve"> doesn't explain what it means. Presumably it refers to release 1 as discussed in the TG, but even release 1 doesn't really make any sense with respect to the PAR.</w:t>
            </w:r>
          </w:p>
        </w:tc>
        <w:tc>
          <w:tcPr>
            <w:tcW w:w="2160" w:type="dxa"/>
          </w:tcPr>
          <w:p w14:paraId="08C57B07" w14:textId="5C3FBF86" w:rsidR="00DE7713" w:rsidRPr="006B6F56" w:rsidRDefault="00216FE0" w:rsidP="006B6F5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216FE0">
              <w:rPr>
                <w:rFonts w:ascii="Arial" w:hAnsi="Arial" w:cs="Arial"/>
                <w:sz w:val="20"/>
                <w:szCs w:val="20"/>
              </w:rPr>
              <w:t xml:space="preserve">Add an explanation of what "base line features implemented" </w:t>
            </w:r>
            <w:proofErr w:type="gramStart"/>
            <w:r w:rsidRPr="00216FE0">
              <w:rPr>
                <w:rFonts w:ascii="Arial" w:hAnsi="Arial" w:cs="Arial"/>
                <w:sz w:val="20"/>
                <w:szCs w:val="20"/>
              </w:rPr>
              <w:t>actually means</w:t>
            </w:r>
            <w:proofErr w:type="gramEnd"/>
            <w:r w:rsidRPr="00216FE0">
              <w:rPr>
                <w:rFonts w:ascii="Arial" w:hAnsi="Arial" w:cs="Arial"/>
                <w:sz w:val="20"/>
                <w:szCs w:val="20"/>
              </w:rPr>
              <w:t xml:space="preserve"> so that there is some context defined for this capability variable.</w:t>
            </w:r>
          </w:p>
        </w:tc>
        <w:tc>
          <w:tcPr>
            <w:tcW w:w="2542" w:type="dxa"/>
          </w:tcPr>
          <w:p w14:paraId="1B0D67FA" w14:textId="67C1104B" w:rsidR="00DE7713" w:rsidRDefault="00DE7713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65BC0">
              <w:rPr>
                <w:rFonts w:ascii="Arial" w:hAnsi="Arial" w:cs="Arial"/>
                <w:b/>
                <w:sz w:val="20"/>
                <w:szCs w:val="20"/>
              </w:rPr>
              <w:t>ejected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49AFEFC" w14:textId="7934FF68" w:rsidR="00A65BC0" w:rsidRDefault="00A65BC0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372E59" w14:textId="1115B277" w:rsidR="00A65BC0" w:rsidRDefault="00A65BC0" w:rsidP="00D564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4.3.15c is a subclause that gives general description of EHT in very high level. The explanation may need to be added but should in somewhere else. </w:t>
            </w:r>
          </w:p>
          <w:p w14:paraId="086C2FCA" w14:textId="39720078" w:rsidR="00C927AF" w:rsidRDefault="00C927AF" w:rsidP="00D564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88DC40" w14:textId="30AA41CA" w:rsidR="00C927AF" w:rsidRPr="00A65BC0" w:rsidRDefault="00C927AF" w:rsidP="00D564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general description of EHT already added in D1.1.</w:t>
            </w:r>
          </w:p>
          <w:p w14:paraId="62ABCA1D" w14:textId="77777777" w:rsidR="00DE7713" w:rsidRPr="00966382" w:rsidRDefault="00DE7713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5CEE0F" w14:textId="77777777" w:rsidR="00DE7713" w:rsidRDefault="00DE7713" w:rsidP="00D564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AC00B" w14:textId="0EAABFBF" w:rsidR="00DE7713" w:rsidRPr="00966382" w:rsidRDefault="00DE7713" w:rsidP="00D56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87" w:rsidRPr="00966382" w14:paraId="4FE7E146" w14:textId="77777777" w:rsidTr="00E13A87">
        <w:trPr>
          <w:trHeight w:val="358"/>
        </w:trPr>
        <w:tc>
          <w:tcPr>
            <w:tcW w:w="689" w:type="dxa"/>
          </w:tcPr>
          <w:p w14:paraId="0172F85D" w14:textId="2B2FF9DE" w:rsidR="00E13A87" w:rsidRDefault="00E13A87" w:rsidP="006B6F56">
            <w:pPr>
              <w:jc w:val="righ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6158</w:t>
            </w:r>
          </w:p>
        </w:tc>
        <w:tc>
          <w:tcPr>
            <w:tcW w:w="896" w:type="dxa"/>
          </w:tcPr>
          <w:p w14:paraId="32AEA981" w14:textId="41DA975C" w:rsidR="00E13A87" w:rsidRPr="00E13A87" w:rsidRDefault="00E13A87" w:rsidP="006B6F56">
            <w:pPr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>4.3.15c</w:t>
            </w:r>
          </w:p>
        </w:tc>
        <w:tc>
          <w:tcPr>
            <w:tcW w:w="775" w:type="dxa"/>
          </w:tcPr>
          <w:p w14:paraId="71A989A9" w14:textId="78C9AA8D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45.14</w:t>
            </w:r>
          </w:p>
        </w:tc>
        <w:tc>
          <w:tcPr>
            <w:tcW w:w="2070" w:type="dxa"/>
          </w:tcPr>
          <w:p w14:paraId="10130EE6" w14:textId="198915C2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 xml:space="preserve">Surely EHT does more than just operate between 1 and 7 GHz. Describe why EHT is a new amendment to the 802.11 </w:t>
            </w:r>
            <w:proofErr w:type="gramStart"/>
            <w:r w:rsidRPr="00E13A87">
              <w:rPr>
                <w:rFonts w:ascii="Arial" w:hAnsi="Arial" w:cs="Arial"/>
                <w:sz w:val="20"/>
              </w:rPr>
              <w:t>standard</w:t>
            </w:r>
            <w:proofErr w:type="gramEnd"/>
            <w:r w:rsidRPr="00E13A87">
              <w:rPr>
                <w:rFonts w:ascii="Arial" w:hAnsi="Arial" w:cs="Arial"/>
                <w:sz w:val="20"/>
              </w:rPr>
              <w:t xml:space="preserve"> and which features it brings, similar to HT, VHT, and HE.</w:t>
            </w:r>
          </w:p>
        </w:tc>
        <w:tc>
          <w:tcPr>
            <w:tcW w:w="2160" w:type="dxa"/>
          </w:tcPr>
          <w:p w14:paraId="462F380A" w14:textId="54EE9EE0" w:rsid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 xml:space="preserve">Describe the features for EHT </w:t>
            </w:r>
            <w:proofErr w:type="gramStart"/>
            <w:r w:rsidRPr="00E13A87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E13A87">
              <w:rPr>
                <w:rFonts w:ascii="Arial" w:hAnsi="Arial" w:cs="Arial"/>
                <w:sz w:val="20"/>
              </w:rPr>
              <w:t xml:space="preserve"> what has been done for previous amendments.</w:t>
            </w:r>
          </w:p>
        </w:tc>
        <w:tc>
          <w:tcPr>
            <w:tcW w:w="2542" w:type="dxa"/>
          </w:tcPr>
          <w:p w14:paraId="407E15EF" w14:textId="54ACF66F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A65BC0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01C51A8" w14:textId="49B4A01F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5B11A" w14:textId="0D5FA5AB" w:rsidR="00E13A87" w:rsidRPr="00A65BC0" w:rsidRDefault="00A65BC0" w:rsidP="00E13A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Already resolved in D1.1.</w:t>
            </w:r>
          </w:p>
        </w:tc>
      </w:tr>
      <w:tr w:rsidR="00E13A87" w:rsidRPr="00966382" w14:paraId="3ED8392C" w14:textId="77777777" w:rsidTr="00E13A87">
        <w:trPr>
          <w:trHeight w:val="358"/>
        </w:trPr>
        <w:tc>
          <w:tcPr>
            <w:tcW w:w="689" w:type="dxa"/>
          </w:tcPr>
          <w:p w14:paraId="0C1DFC89" w14:textId="4E11A9B7" w:rsidR="00E13A87" w:rsidRDefault="00E13A87" w:rsidP="006B6F5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6114</w:t>
            </w:r>
          </w:p>
        </w:tc>
        <w:tc>
          <w:tcPr>
            <w:tcW w:w="896" w:type="dxa"/>
          </w:tcPr>
          <w:p w14:paraId="756DD661" w14:textId="79ED860D" w:rsidR="00E13A87" w:rsidRPr="00E13A87" w:rsidRDefault="00E13A87" w:rsidP="006B6F56">
            <w:pPr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>4.3.15c</w:t>
            </w:r>
          </w:p>
        </w:tc>
        <w:tc>
          <w:tcPr>
            <w:tcW w:w="775" w:type="dxa"/>
          </w:tcPr>
          <w:p w14:paraId="11C63370" w14:textId="5FD8C2E4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45.16</w:t>
            </w:r>
          </w:p>
        </w:tc>
        <w:tc>
          <w:tcPr>
            <w:tcW w:w="2070" w:type="dxa"/>
          </w:tcPr>
          <w:p w14:paraId="7BB00E40" w14:textId="417B52B5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 xml:space="preserve">Is an EHT STA (by definition) also an HE STA, </w:t>
            </w:r>
            <w:proofErr w:type="gramStart"/>
            <w:r w:rsidRPr="00E13A87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E13A87">
              <w:rPr>
                <w:rFonts w:ascii="Arial" w:hAnsi="Arial" w:cs="Arial"/>
                <w:sz w:val="20"/>
              </w:rPr>
              <w:t xml:space="preserve"> what has been done for previous PHYs?</w:t>
            </w:r>
          </w:p>
        </w:tc>
        <w:tc>
          <w:tcPr>
            <w:tcW w:w="2160" w:type="dxa"/>
          </w:tcPr>
          <w:p w14:paraId="2C1FA0CA" w14:textId="46E770DE" w:rsid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 xml:space="preserve">Clarify in 4.3.15c whether an EHT STA must also support the MAC and PHY features of </w:t>
            </w:r>
            <w:proofErr w:type="spellStart"/>
            <w:r w:rsidRPr="00E13A87">
              <w:rPr>
                <w:rFonts w:ascii="Arial" w:hAnsi="Arial" w:cs="Arial"/>
                <w:sz w:val="20"/>
              </w:rPr>
              <w:t>legcay</w:t>
            </w:r>
            <w:proofErr w:type="spellEnd"/>
            <w:r w:rsidRPr="00E13A87">
              <w:rPr>
                <w:rFonts w:ascii="Arial" w:hAnsi="Arial" w:cs="Arial"/>
                <w:sz w:val="20"/>
              </w:rPr>
              <w:t xml:space="preserve"> operation.  (It appears so, from clauses 35 and 36.)</w:t>
            </w:r>
          </w:p>
        </w:tc>
        <w:tc>
          <w:tcPr>
            <w:tcW w:w="2542" w:type="dxa"/>
          </w:tcPr>
          <w:p w14:paraId="5661DCB0" w14:textId="4176D7BF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A65BC0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35C1FF0" w14:textId="77777777" w:rsidR="00E13A87" w:rsidRPr="00966382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41DF0E" w14:textId="22472F39" w:rsidR="00E13A87" w:rsidRDefault="00A65BC0" w:rsidP="00E1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resolved in D1.1.</w:t>
            </w:r>
          </w:p>
          <w:p w14:paraId="546842D1" w14:textId="7923BFC1" w:rsidR="00E13A87" w:rsidRPr="00966382" w:rsidRDefault="00E13A87" w:rsidP="00E13A8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13A87" w:rsidRPr="00966382" w14:paraId="4D587B69" w14:textId="77777777" w:rsidTr="00E13A87">
        <w:trPr>
          <w:trHeight w:val="358"/>
        </w:trPr>
        <w:tc>
          <w:tcPr>
            <w:tcW w:w="689" w:type="dxa"/>
          </w:tcPr>
          <w:p w14:paraId="6C2EB591" w14:textId="1BF28497" w:rsidR="00E13A87" w:rsidRDefault="00E13A87" w:rsidP="006B6F5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4127</w:t>
            </w:r>
          </w:p>
        </w:tc>
        <w:tc>
          <w:tcPr>
            <w:tcW w:w="896" w:type="dxa"/>
          </w:tcPr>
          <w:p w14:paraId="56F86254" w14:textId="283C9490" w:rsidR="00E13A87" w:rsidRPr="00E13A87" w:rsidRDefault="00E13A87" w:rsidP="006B6F56">
            <w:pPr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>4.3.15c</w:t>
            </w:r>
          </w:p>
        </w:tc>
        <w:tc>
          <w:tcPr>
            <w:tcW w:w="775" w:type="dxa"/>
          </w:tcPr>
          <w:p w14:paraId="11E104AA" w14:textId="4C8CE93F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45.17</w:t>
            </w:r>
          </w:p>
        </w:tc>
        <w:tc>
          <w:tcPr>
            <w:tcW w:w="2070" w:type="dxa"/>
          </w:tcPr>
          <w:p w14:paraId="007CA090" w14:textId="1F33CF82" w:rsidR="00E13A87" w:rsidRPr="00E13A87" w:rsidRDefault="00CA640B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CA640B">
              <w:rPr>
                <w:rFonts w:ascii="Arial" w:hAnsi="Arial" w:cs="Arial"/>
                <w:sz w:val="20"/>
              </w:rPr>
              <w:t xml:space="preserve">Not the only features that an EHT STA needs to support </w:t>
            </w:r>
            <w:r w:rsidRPr="00CA640B">
              <w:rPr>
                <w:rFonts w:ascii="Arial" w:hAnsi="Arial" w:cs="Arial"/>
                <w:sz w:val="20"/>
              </w:rPr>
              <w:lastRenderedPageBreak/>
              <w:t>(HE, VHT, HT are just a few others that need to be supported).</w:t>
            </w:r>
          </w:p>
        </w:tc>
        <w:tc>
          <w:tcPr>
            <w:tcW w:w="2160" w:type="dxa"/>
          </w:tcPr>
          <w:p w14:paraId="48286DA2" w14:textId="4CF1284D" w:rsidR="00E13A87" w:rsidRDefault="00E13A87" w:rsidP="00E13A87">
            <w:pPr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lastRenderedPageBreak/>
              <w:t>As in comment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42" w:type="dxa"/>
          </w:tcPr>
          <w:p w14:paraId="3120A6C5" w14:textId="0EBC83A9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A65BC0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CAA96B4" w14:textId="219EE95C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2E2C2" w14:textId="77777777" w:rsidR="00A65BC0" w:rsidRDefault="00A65BC0" w:rsidP="00E13A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6B3B72" w14:textId="246C09DB" w:rsidR="00A65BC0" w:rsidRPr="00A65BC0" w:rsidRDefault="00A65BC0" w:rsidP="00E13A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Already resolved in D1.1.</w:t>
            </w:r>
          </w:p>
          <w:p w14:paraId="5202B7F8" w14:textId="6B804BB7" w:rsidR="00E13A87" w:rsidRPr="00966382" w:rsidRDefault="00E13A87" w:rsidP="00E13A8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B7BEAF" w14:textId="464540BA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69D0EE8B" w14:textId="0F5C3592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5F7FEB2B" w14:textId="496DB540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10CF2FEB" w14:textId="77777777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118B9981" w:rsidR="00EE5D9B" w:rsidRPr="006B6F56" w:rsidRDefault="00EE5D9B" w:rsidP="006B6F56">
      <w:pPr>
        <w:jc w:val="left"/>
        <w:rPr>
          <w:b/>
          <w:color w:val="000000"/>
          <w:w w:val="0"/>
          <w:sz w:val="24"/>
          <w:u w:val="single"/>
        </w:rPr>
      </w:pPr>
      <w:r w:rsidRPr="00E3607E">
        <w:rPr>
          <w:b/>
          <w:sz w:val="24"/>
          <w:u w:val="single"/>
        </w:rPr>
        <w:t>Discussion:</w:t>
      </w:r>
      <w:r w:rsidRPr="00E3607E">
        <w:rPr>
          <w:sz w:val="24"/>
        </w:rPr>
        <w:t xml:space="preserve"> </w:t>
      </w:r>
      <w:r w:rsidR="00656607">
        <w:rPr>
          <w:sz w:val="24"/>
        </w:rPr>
        <w:t>None.</w:t>
      </w:r>
    </w:p>
    <w:p w14:paraId="16B4E74A" w14:textId="435F5318" w:rsidR="00EE5D9B" w:rsidRPr="00C927AF" w:rsidRDefault="00EE5D9B" w:rsidP="00EE5D9B">
      <w:pPr>
        <w:pStyle w:val="T"/>
        <w:rPr>
          <w:bCs/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Propose:</w:t>
      </w:r>
      <w:r w:rsidR="00C927AF">
        <w:rPr>
          <w:bCs/>
          <w:sz w:val="24"/>
          <w:lang w:val="en-GB"/>
        </w:rPr>
        <w:t xml:space="preserve"> None.</w:t>
      </w:r>
    </w:p>
    <w:bookmarkEnd w:id="0"/>
    <w:p w14:paraId="291B49B8" w14:textId="52822243" w:rsidR="009A0BB5" w:rsidRPr="00E322B0" w:rsidRDefault="009A0BB5" w:rsidP="006B7120">
      <w:pPr>
        <w:pStyle w:val="T"/>
        <w:rPr>
          <w:sz w:val="24"/>
        </w:rPr>
      </w:pPr>
    </w:p>
    <w:sectPr w:rsidR="009A0BB5" w:rsidRPr="00E322B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8778" w14:textId="77777777" w:rsidR="00CF2895" w:rsidRDefault="00CF2895">
      <w:r>
        <w:separator/>
      </w:r>
    </w:p>
  </w:endnote>
  <w:endnote w:type="continuationSeparator" w:id="0">
    <w:p w14:paraId="590DC354" w14:textId="77777777" w:rsidR="00CF2895" w:rsidRDefault="00CF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559EEFDF" w:rsidR="005B7ADB" w:rsidRDefault="00CF28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</w:r>
    <w:r w:rsidR="00A733E3">
      <w:t>Yanyi Ding</w:t>
    </w:r>
    <w:r w:rsidR="005B7ADB">
      <w:t xml:space="preserve"> </w:t>
    </w:r>
    <w:r w:rsidR="00A733E3">
      <w:t>(</w:t>
    </w:r>
    <w:r w:rsidR="005B7ADB">
      <w:t>Panasonic</w:t>
    </w:r>
    <w:r w:rsidR="00A733E3">
      <w:t>)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F90C" w14:textId="77777777" w:rsidR="00CF2895" w:rsidRDefault="00CF2895">
      <w:r>
        <w:separator/>
      </w:r>
    </w:p>
  </w:footnote>
  <w:footnote w:type="continuationSeparator" w:id="0">
    <w:p w14:paraId="0F75F965" w14:textId="77777777" w:rsidR="00CF2895" w:rsidRDefault="00CF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088FE87B" w:rsidR="005B7ADB" w:rsidRDefault="00E322B0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</w:t>
    </w:r>
    <w:r w:rsidR="005B7ADB">
      <w:t xml:space="preserve"> 20</w:t>
    </w:r>
    <w:r w:rsidR="00776049">
      <w:t>2</w:t>
    </w:r>
    <w:r w:rsidR="005B7ADB">
      <w:t>1</w:t>
    </w:r>
    <w:r w:rsidR="005B7ADB">
      <w:tab/>
    </w:r>
    <w:r w:rsidR="005B7ADB">
      <w:tab/>
      <w:t>doc.: IEEE 802.11-</w:t>
    </w:r>
    <w:r w:rsidR="00776049">
      <w:t>2</w:t>
    </w:r>
    <w:r w:rsidR="005B7ADB">
      <w:t>1</w:t>
    </w:r>
    <w:r w:rsidR="00523589">
      <w:t>/</w:t>
    </w:r>
    <w:r w:rsidR="00523589" w:rsidRPr="00523589">
      <w:t>1351</w:t>
    </w:r>
    <w:r w:rsidR="005B7ADB" w:rsidRPr="00671962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6C8"/>
    <w:rsid w:val="00007917"/>
    <w:rsid w:val="00007CBB"/>
    <w:rsid w:val="00010CA3"/>
    <w:rsid w:val="00010CA8"/>
    <w:rsid w:val="00011A27"/>
    <w:rsid w:val="000128B4"/>
    <w:rsid w:val="00013538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397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AD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6AB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6FE0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CFD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2F29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0B72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1DB"/>
    <w:rsid w:val="003A6FFB"/>
    <w:rsid w:val="003A7E53"/>
    <w:rsid w:val="003B051C"/>
    <w:rsid w:val="003B3F9D"/>
    <w:rsid w:val="003B4470"/>
    <w:rsid w:val="003B529B"/>
    <w:rsid w:val="003C06E2"/>
    <w:rsid w:val="003C0B0B"/>
    <w:rsid w:val="003C1158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A69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6FB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D4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628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589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4B7"/>
    <w:rsid w:val="00571969"/>
    <w:rsid w:val="00571DE6"/>
    <w:rsid w:val="00571F97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37C0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6F56"/>
    <w:rsid w:val="006B7120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E145F"/>
    <w:rsid w:val="006E3203"/>
    <w:rsid w:val="006E4DDB"/>
    <w:rsid w:val="006E4DF1"/>
    <w:rsid w:val="006E6D60"/>
    <w:rsid w:val="006F0695"/>
    <w:rsid w:val="006F1B6F"/>
    <w:rsid w:val="006F1CEB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297B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77E6C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5AB"/>
    <w:rsid w:val="007A164A"/>
    <w:rsid w:val="007A1C50"/>
    <w:rsid w:val="007A1D20"/>
    <w:rsid w:val="007A1FD2"/>
    <w:rsid w:val="007A2737"/>
    <w:rsid w:val="007A3898"/>
    <w:rsid w:val="007A3B91"/>
    <w:rsid w:val="007A3F63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086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12B81"/>
    <w:rsid w:val="00913028"/>
    <w:rsid w:val="0091385C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30C5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BB5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0433"/>
    <w:rsid w:val="009C1238"/>
    <w:rsid w:val="009C15C2"/>
    <w:rsid w:val="009C197A"/>
    <w:rsid w:val="009C58A1"/>
    <w:rsid w:val="009D0604"/>
    <w:rsid w:val="009D5209"/>
    <w:rsid w:val="009D6187"/>
    <w:rsid w:val="009D6746"/>
    <w:rsid w:val="009D7017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62B6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7EA7"/>
    <w:rsid w:val="00A636F8"/>
    <w:rsid w:val="00A64008"/>
    <w:rsid w:val="00A643E8"/>
    <w:rsid w:val="00A654F0"/>
    <w:rsid w:val="00A65BC0"/>
    <w:rsid w:val="00A65C3B"/>
    <w:rsid w:val="00A70E98"/>
    <w:rsid w:val="00A720B0"/>
    <w:rsid w:val="00A726F5"/>
    <w:rsid w:val="00A733E3"/>
    <w:rsid w:val="00A773C4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67"/>
    <w:rsid w:val="00AA5FB7"/>
    <w:rsid w:val="00AA6237"/>
    <w:rsid w:val="00AA6BC6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1496"/>
    <w:rsid w:val="00AD3256"/>
    <w:rsid w:val="00AD396C"/>
    <w:rsid w:val="00AD4162"/>
    <w:rsid w:val="00AD4566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2F4D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5E16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C7D"/>
    <w:rsid w:val="00B917AB"/>
    <w:rsid w:val="00B91F88"/>
    <w:rsid w:val="00B91F91"/>
    <w:rsid w:val="00B9543B"/>
    <w:rsid w:val="00B95B84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2F07"/>
    <w:rsid w:val="00C14144"/>
    <w:rsid w:val="00C142AD"/>
    <w:rsid w:val="00C143E1"/>
    <w:rsid w:val="00C16999"/>
    <w:rsid w:val="00C16E5C"/>
    <w:rsid w:val="00C2383C"/>
    <w:rsid w:val="00C24F87"/>
    <w:rsid w:val="00C25C41"/>
    <w:rsid w:val="00C26FD0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9E0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7AF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40B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5032"/>
    <w:rsid w:val="00CF1147"/>
    <w:rsid w:val="00CF1270"/>
    <w:rsid w:val="00CF212F"/>
    <w:rsid w:val="00CF2895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64EF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1E75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E7713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3A87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22B0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4309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60ED9"/>
    <w:rsid w:val="00E60FD0"/>
    <w:rsid w:val="00E61601"/>
    <w:rsid w:val="00E61CCA"/>
    <w:rsid w:val="00E62C0D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71A3"/>
    <w:rsid w:val="00ED0298"/>
    <w:rsid w:val="00ED1958"/>
    <w:rsid w:val="00ED2CB3"/>
    <w:rsid w:val="00ED4441"/>
    <w:rsid w:val="00ED79C2"/>
    <w:rsid w:val="00EE07FF"/>
    <w:rsid w:val="00EE2A41"/>
    <w:rsid w:val="00EE2BCB"/>
    <w:rsid w:val="00EE2F0A"/>
    <w:rsid w:val="00EE2FC8"/>
    <w:rsid w:val="00EE3C9B"/>
    <w:rsid w:val="00EE57CC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719E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AB2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027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798698">
    <w:name w:val="SP.17.98698"/>
    <w:basedOn w:val="Default"/>
    <w:next w:val="Default"/>
    <w:uiPriority w:val="99"/>
    <w:rsid w:val="00EE57CC"/>
    <w:rPr>
      <w:color w:val="auto"/>
      <w:lang w:val="en-SG"/>
    </w:rPr>
  </w:style>
  <w:style w:type="paragraph" w:customStyle="1" w:styleId="SP1798320">
    <w:name w:val="SP.17.98320"/>
    <w:basedOn w:val="Default"/>
    <w:next w:val="Default"/>
    <w:uiPriority w:val="99"/>
    <w:rsid w:val="00EE57CC"/>
    <w:rPr>
      <w:color w:val="auto"/>
      <w:lang w:val="en-SG"/>
    </w:rPr>
  </w:style>
  <w:style w:type="character" w:customStyle="1" w:styleId="SC17323600">
    <w:name w:val="SC.17.323600"/>
    <w:uiPriority w:val="99"/>
    <w:rsid w:val="00EE57C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A1DC022-6546-4BFD-AC3A-689A874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Yanyi Ding</cp:lastModifiedBy>
  <cp:revision>10</cp:revision>
  <cp:lastPrinted>2014-09-06T06:13:00Z</cp:lastPrinted>
  <dcterms:created xsi:type="dcterms:W3CDTF">2021-08-12T07:33:00Z</dcterms:created>
  <dcterms:modified xsi:type="dcterms:W3CDTF">2021-08-13T03:14:00Z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</Properties>
</file>