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22D5E0" w14:textId="2D3CC25F" w:rsidR="00FD13D1" w:rsidRDefault="00FD13D1" w:rsidP="00FD13D1">
            <w:pPr>
              <w:pStyle w:val="T2"/>
              <w:spacing w:before="120" w:after="120"/>
            </w:pPr>
            <w:r>
              <w:t xml:space="preserve">CC36 CR </w:t>
            </w:r>
            <w:r w:rsidR="00191B21">
              <w:t>for</w:t>
            </w:r>
            <w:r>
              <w:t xml:space="preserve"> </w:t>
            </w:r>
          </w:p>
          <w:p w14:paraId="5B7CFCE4" w14:textId="190724FE" w:rsidR="00F905F1" w:rsidRPr="00183F4C" w:rsidRDefault="00FD13D1" w:rsidP="00FD13D1">
            <w:pPr>
              <w:pStyle w:val="T2"/>
              <w:spacing w:before="120" w:after="120"/>
            </w:pPr>
            <w:r w:rsidRPr="00FD13D1">
              <w:t>35.6.2.1 Latency sensitive traffic differentiation</w:t>
            </w:r>
          </w:p>
        </w:tc>
      </w:tr>
      <w:tr w:rsidR="00F905F1" w:rsidRPr="00183F4C" w14:paraId="37AA3717" w14:textId="77777777" w:rsidTr="00272913">
        <w:trPr>
          <w:trHeight w:val="359"/>
          <w:jc w:val="center"/>
        </w:trPr>
        <w:tc>
          <w:tcPr>
            <w:tcW w:w="9576" w:type="dxa"/>
            <w:gridSpan w:val="5"/>
            <w:vAlign w:val="center"/>
          </w:tcPr>
          <w:p w14:paraId="14B3254A" w14:textId="5C246388"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w:t>
            </w:r>
            <w:r w:rsidR="0099289C" w:rsidRPr="0099289C">
              <w:rPr>
                <w:rFonts w:hint="eastAsia"/>
                <w:b w:val="0"/>
                <w:sz w:val="20"/>
              </w:rPr>
              <w:t>8</w:t>
            </w:r>
            <w:r w:rsidR="00231DFC">
              <w:rPr>
                <w:b w:val="0"/>
                <w:sz w:val="20"/>
              </w:rPr>
              <w:t>-</w:t>
            </w:r>
            <w:r w:rsidR="0099289C" w:rsidRPr="0099289C">
              <w:rPr>
                <w:rFonts w:hint="eastAsia"/>
                <w:b w:val="0"/>
                <w:sz w:val="20"/>
              </w:rPr>
              <w:t>05</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2FDFFD52" w:rsidR="001D00A2" w:rsidRDefault="00FD13D1" w:rsidP="005C447C">
      <w:pPr>
        <w:spacing w:before="0" w:line="240" w:lineRule="auto"/>
        <w:jc w:val="both"/>
      </w:pPr>
      <w:r w:rsidRPr="00FD13D1">
        <w:rPr>
          <w:rFonts w:hint="eastAsia"/>
        </w:rPr>
        <w:t>5</w:t>
      </w:r>
      <w:r w:rsidRPr="00FD13D1">
        <w:t>951</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52396280" w14:textId="77777777" w:rsidR="00F905F1" w:rsidRPr="00E41148" w:rsidRDefault="00F905F1" w:rsidP="005C447C">
      <w:pPr>
        <w:pStyle w:val="af3"/>
        <w:numPr>
          <w:ilvl w:val="0"/>
          <w:numId w:val="1"/>
        </w:numPr>
        <w:spacing w:before="0" w:line="240" w:lineRule="auto"/>
        <w:ind w:leftChars="0"/>
        <w:jc w:val="both"/>
      </w:pP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0075BC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Pr>
          <w:rFonts w:eastAsia="MS Mincho"/>
          <w:b/>
          <w:i/>
          <w:iCs/>
          <w:color w:val="000000"/>
          <w:w w:val="0"/>
          <w:highlight w:val="yellow"/>
          <w:lang w:val="en-US" w:eastAsia="en-US"/>
        </w:rPr>
        <w:t>1</w:t>
      </w:r>
      <w:r>
        <w:rPr>
          <w:rFonts w:eastAsia="MS Mincho"/>
          <w:b/>
          <w:i/>
          <w:iCs/>
          <w:color w:val="000000"/>
          <w:w w:val="0"/>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0"/>
        <w:gridCol w:w="850"/>
        <w:gridCol w:w="3260"/>
        <w:gridCol w:w="2039"/>
        <w:gridCol w:w="2191"/>
      </w:tblGrid>
      <w:tr w:rsidR="00D45225" w:rsidRPr="007E587A" w14:paraId="6575C897" w14:textId="77777777" w:rsidTr="00207172">
        <w:trPr>
          <w:trHeight w:val="220"/>
          <w:jc w:val="center"/>
        </w:trPr>
        <w:tc>
          <w:tcPr>
            <w:tcW w:w="625"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930" w:type="dxa"/>
            <w:shd w:val="clear" w:color="auto" w:fill="BFBFBF" w:themeFill="background1" w:themeFillShade="BF"/>
            <w:noWrap/>
            <w:vAlign w:val="center"/>
          </w:tcPr>
          <w:p w14:paraId="72632E6B"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0"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3260"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039"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45225" w14:paraId="6A78D80A" w14:textId="77777777" w:rsidTr="00207172">
        <w:trPr>
          <w:trHeight w:val="220"/>
          <w:jc w:val="center"/>
        </w:trPr>
        <w:tc>
          <w:tcPr>
            <w:tcW w:w="625" w:type="dxa"/>
            <w:shd w:val="clear" w:color="auto" w:fill="auto"/>
            <w:noWrap/>
          </w:tcPr>
          <w:p w14:paraId="729D3413" w14:textId="56B02F7F" w:rsidR="00D45225" w:rsidRPr="009A5372" w:rsidRDefault="00D45225" w:rsidP="000A0442">
            <w:pPr>
              <w:suppressAutoHyphens/>
              <w:spacing w:before="60" w:after="60" w:line="60" w:lineRule="atLeast"/>
              <w:rPr>
                <w:rFonts w:eastAsia="宋体"/>
                <w:lang w:eastAsia="zh-CN"/>
              </w:rPr>
            </w:pPr>
            <w:r w:rsidRPr="009A5372">
              <w:rPr>
                <w:rFonts w:eastAsia="宋体" w:hint="eastAsia"/>
                <w:lang w:eastAsia="zh-CN"/>
              </w:rPr>
              <w:t>5</w:t>
            </w:r>
            <w:r w:rsidRPr="009A5372">
              <w:rPr>
                <w:rFonts w:eastAsia="宋体"/>
                <w:lang w:eastAsia="zh-CN"/>
              </w:rPr>
              <w:t>951</w:t>
            </w:r>
          </w:p>
        </w:tc>
        <w:tc>
          <w:tcPr>
            <w:tcW w:w="930" w:type="dxa"/>
            <w:shd w:val="clear" w:color="auto" w:fill="auto"/>
            <w:noWrap/>
          </w:tcPr>
          <w:p w14:paraId="22702B6B" w14:textId="239E9C2C" w:rsidR="00D45225" w:rsidRPr="009A5372" w:rsidRDefault="00D45225" w:rsidP="000A0442">
            <w:pPr>
              <w:suppressAutoHyphens/>
              <w:spacing w:before="60" w:after="60" w:line="60" w:lineRule="atLeast"/>
            </w:pPr>
            <w:r w:rsidRPr="009A5372">
              <w:t>35.6.2.1</w:t>
            </w:r>
          </w:p>
        </w:tc>
        <w:tc>
          <w:tcPr>
            <w:tcW w:w="850" w:type="dxa"/>
          </w:tcPr>
          <w:p w14:paraId="443E67DC" w14:textId="5530A5E2" w:rsidR="00D45225" w:rsidRPr="009A5372" w:rsidRDefault="00D45225" w:rsidP="000A0442">
            <w:pPr>
              <w:suppressAutoHyphens/>
              <w:spacing w:before="60" w:after="60" w:line="60" w:lineRule="atLeast"/>
            </w:pPr>
            <w:r w:rsidRPr="009A5372">
              <w:t>298.25</w:t>
            </w:r>
          </w:p>
        </w:tc>
        <w:tc>
          <w:tcPr>
            <w:tcW w:w="3260" w:type="dxa"/>
            <w:shd w:val="clear" w:color="auto" w:fill="auto"/>
            <w:noWrap/>
          </w:tcPr>
          <w:p w14:paraId="29234168" w14:textId="619A677E" w:rsidR="00D45225" w:rsidRPr="009A5372" w:rsidRDefault="00D45225" w:rsidP="000A0442">
            <w:pPr>
              <w:suppressAutoHyphens/>
              <w:spacing w:before="60" w:after="60" w:line="60" w:lineRule="atLeast"/>
            </w:pPr>
            <w:r w:rsidRPr="009A5372">
              <w:t xml:space="preserve">There is no Latency Sensitive Traffic Criterion specified currently, therefore it is difficult to differentiate the latency sensitive traffic </w:t>
            </w:r>
            <w:proofErr w:type="spellStart"/>
            <w:r w:rsidRPr="009A5372">
              <w:t>especilly</w:t>
            </w:r>
            <w:proofErr w:type="spellEnd"/>
            <w:r w:rsidRPr="009A5372">
              <w:t xml:space="preserve">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t>
            </w:r>
          </w:p>
        </w:tc>
        <w:tc>
          <w:tcPr>
            <w:tcW w:w="2039" w:type="dxa"/>
            <w:shd w:val="clear" w:color="auto" w:fill="auto"/>
            <w:noWrap/>
          </w:tcPr>
          <w:p w14:paraId="48910E7E" w14:textId="04EB53BC" w:rsidR="00D45225" w:rsidRPr="009A5372" w:rsidRDefault="00D45225" w:rsidP="000A0442">
            <w:pPr>
              <w:suppressAutoHyphens/>
              <w:spacing w:before="60" w:after="60" w:line="60" w:lineRule="atLeast"/>
            </w:pPr>
            <w:r w:rsidRPr="009A5372">
              <w:t>The Latency Sensitive Traffic Criterion is suggested to be specified by using some of the parameters of TSPEC element. And the operating mechanism needs to be specified.</w:t>
            </w:r>
          </w:p>
        </w:tc>
        <w:tc>
          <w:tcPr>
            <w:tcW w:w="2191" w:type="dxa"/>
            <w:shd w:val="clear" w:color="auto" w:fill="auto"/>
          </w:tcPr>
          <w:p w14:paraId="646CE204" w14:textId="05FF3217" w:rsidR="00D45225" w:rsidRPr="009A5372" w:rsidRDefault="00D45225" w:rsidP="009A5372">
            <w:pPr>
              <w:spacing w:before="0" w:line="240" w:lineRule="auto"/>
              <w:rPr>
                <w:lang w:eastAsia="en-US"/>
              </w:rPr>
            </w:pPr>
            <w:r w:rsidRPr="009A5372">
              <w:rPr>
                <w:lang w:eastAsia="en-US"/>
              </w:rPr>
              <w:t>Revised</w:t>
            </w:r>
          </w:p>
          <w:p w14:paraId="2A315A8C" w14:textId="77777777" w:rsidR="009A5372" w:rsidRPr="009A5372" w:rsidRDefault="009A5372" w:rsidP="009A5372">
            <w:pPr>
              <w:spacing w:before="0" w:line="240" w:lineRule="auto"/>
              <w:rPr>
                <w:lang w:eastAsia="en-US"/>
              </w:rPr>
            </w:pPr>
          </w:p>
          <w:p w14:paraId="4BAE8206" w14:textId="05471935" w:rsidR="00D45225" w:rsidRPr="009A5372" w:rsidRDefault="00D45225" w:rsidP="009A5372">
            <w:pPr>
              <w:spacing w:before="0" w:line="240" w:lineRule="auto"/>
              <w:rPr>
                <w:lang w:eastAsia="en-US"/>
              </w:rPr>
            </w:pPr>
            <w:r w:rsidRPr="009A5372">
              <w:rPr>
                <w:lang w:eastAsia="en-US"/>
              </w:rPr>
              <w:t xml:space="preserve">Agreed it is necessary to </w:t>
            </w:r>
            <w:r w:rsidR="00207172">
              <w:rPr>
                <w:lang w:eastAsia="en-US"/>
              </w:rPr>
              <w:t>specify how to</w:t>
            </w:r>
            <w:r w:rsidRPr="009A5372">
              <w:rPr>
                <w:lang w:eastAsia="en-US"/>
              </w:rPr>
              <w:t xml:space="preserve"> </w:t>
            </w:r>
            <w:r w:rsidR="00207172">
              <w:rPr>
                <w:lang w:eastAsia="en-US"/>
              </w:rPr>
              <w:t xml:space="preserve">differentiate </w:t>
            </w:r>
            <w:r w:rsidR="009A5372">
              <w:rPr>
                <w:lang w:eastAsia="en-US"/>
              </w:rPr>
              <w:t>t</w:t>
            </w:r>
            <w:r w:rsidRPr="009A5372">
              <w:rPr>
                <w:lang w:eastAsia="en-US"/>
              </w:rPr>
              <w:t xml:space="preserve">he </w:t>
            </w:r>
            <w:r w:rsidR="00207172">
              <w:rPr>
                <w:lang w:eastAsia="en-US"/>
              </w:rPr>
              <w:t>l</w:t>
            </w:r>
            <w:r w:rsidRPr="009A5372">
              <w:rPr>
                <w:lang w:eastAsia="en-US"/>
              </w:rPr>
              <w:t xml:space="preserve">atency </w:t>
            </w:r>
            <w:r w:rsidR="00207172">
              <w:rPr>
                <w:lang w:eastAsia="en-US"/>
              </w:rPr>
              <w:t>s</w:t>
            </w:r>
            <w:r w:rsidRPr="009A5372">
              <w:rPr>
                <w:lang w:eastAsia="en-US"/>
              </w:rPr>
              <w:t xml:space="preserve">ensitive </w:t>
            </w:r>
            <w:r w:rsidR="00207172">
              <w:rPr>
                <w:lang w:eastAsia="en-US"/>
              </w:rPr>
              <w:t>t</w:t>
            </w:r>
            <w:r w:rsidRPr="009A5372">
              <w:rPr>
                <w:lang w:eastAsia="en-US"/>
              </w:rPr>
              <w:t>raffic.</w:t>
            </w:r>
          </w:p>
          <w:p w14:paraId="00BF0DBB" w14:textId="77777777" w:rsidR="00D45225" w:rsidRPr="009A5372" w:rsidRDefault="00D45225" w:rsidP="00971182"/>
          <w:p w14:paraId="7284C4A5" w14:textId="40207171" w:rsidR="00D45225" w:rsidRPr="009A5372" w:rsidRDefault="00D45225" w:rsidP="00842ACC">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009A5372" w:rsidRPr="009A5372">
              <w:rPr>
                <w:b/>
                <w:bCs/>
                <w:i/>
                <w:iCs/>
                <w:lang w:eastAsia="en-US"/>
              </w:rPr>
              <w:t xml:space="preserve">please </w:t>
            </w:r>
            <w:r w:rsidR="009A5372" w:rsidRPr="009A5372">
              <w:rPr>
                <w:b/>
                <w:bCs/>
                <w:lang w:eastAsia="en-US"/>
              </w:rPr>
              <w:t xml:space="preserve">insert the </w:t>
            </w:r>
            <w:r w:rsidR="009A5372" w:rsidRPr="009A5372">
              <w:rPr>
                <w:b/>
                <w:bCs/>
                <w:i/>
                <w:iCs/>
                <w:lang w:eastAsia="en-US"/>
              </w:rPr>
              <w:t>paragraphs in 35.7.2.1 Latency sensitive traffic differentiation, and insert the new subclause at the end of subclause 9.4.2 Elements</w:t>
            </w:r>
            <w:r w:rsidR="00842ACC">
              <w:rPr>
                <w:b/>
                <w:bCs/>
                <w:i/>
                <w:iCs/>
                <w:lang w:eastAsia="en-US"/>
              </w:rPr>
              <w:t>, as shown in this document</w:t>
            </w:r>
            <w:r w:rsidR="002635FF">
              <w:rPr>
                <w:b/>
                <w:bCs/>
                <w:i/>
                <w:iCs/>
                <w:lang w:eastAsia="en-US"/>
              </w:rPr>
              <w:t xml:space="preserve"> (</w:t>
            </w:r>
            <w:r w:rsidR="002635FF" w:rsidRPr="002635FF">
              <w:rPr>
                <w:b/>
                <w:bCs/>
                <w:i/>
                <w:iCs/>
                <w:lang w:eastAsia="en-US"/>
              </w:rPr>
              <w:t>doc.: IEEE 802.11-21/1290r0</w:t>
            </w:r>
            <w:r w:rsidR="002635FF">
              <w:rPr>
                <w:b/>
                <w:bCs/>
                <w:i/>
                <w:iCs/>
                <w:lang w:eastAsia="en-US"/>
              </w:rPr>
              <w:t>)</w:t>
            </w:r>
            <w:r w:rsidR="00842ACC">
              <w:rPr>
                <w:b/>
                <w:bCs/>
                <w:i/>
                <w:iCs/>
                <w:lang w:eastAsia="en-US"/>
              </w:rPr>
              <w:t>.</w:t>
            </w:r>
          </w:p>
        </w:tc>
      </w:tr>
      <w:tr w:rsidR="00D45225" w14:paraId="4432086F" w14:textId="77777777" w:rsidTr="00207172">
        <w:trPr>
          <w:trHeight w:val="220"/>
          <w:jc w:val="center"/>
        </w:trPr>
        <w:tc>
          <w:tcPr>
            <w:tcW w:w="625" w:type="dxa"/>
            <w:shd w:val="clear" w:color="auto" w:fill="auto"/>
            <w:noWrap/>
          </w:tcPr>
          <w:p w14:paraId="3CD9C3E5" w14:textId="79188585" w:rsidR="00D45225" w:rsidRPr="009A5372" w:rsidRDefault="00D45225" w:rsidP="000A0442">
            <w:pPr>
              <w:suppressAutoHyphens/>
              <w:spacing w:before="60" w:after="60" w:line="60" w:lineRule="atLeast"/>
            </w:pPr>
          </w:p>
        </w:tc>
        <w:tc>
          <w:tcPr>
            <w:tcW w:w="930" w:type="dxa"/>
            <w:shd w:val="clear" w:color="auto" w:fill="auto"/>
            <w:noWrap/>
          </w:tcPr>
          <w:p w14:paraId="00F76773" w14:textId="37991BEC" w:rsidR="00D45225" w:rsidRPr="009A5372" w:rsidRDefault="00D45225" w:rsidP="000A0442">
            <w:pPr>
              <w:suppressAutoHyphens/>
              <w:spacing w:before="60" w:after="60" w:line="60" w:lineRule="atLeast"/>
            </w:pPr>
          </w:p>
        </w:tc>
        <w:tc>
          <w:tcPr>
            <w:tcW w:w="850" w:type="dxa"/>
          </w:tcPr>
          <w:p w14:paraId="2E4857B5" w14:textId="698F400D" w:rsidR="00D45225" w:rsidRPr="009A5372" w:rsidRDefault="00D45225" w:rsidP="000A0442">
            <w:pPr>
              <w:suppressAutoHyphens/>
              <w:spacing w:before="60" w:after="60" w:line="60" w:lineRule="atLeast"/>
            </w:pPr>
          </w:p>
        </w:tc>
        <w:tc>
          <w:tcPr>
            <w:tcW w:w="3260" w:type="dxa"/>
            <w:shd w:val="clear" w:color="auto" w:fill="auto"/>
            <w:noWrap/>
          </w:tcPr>
          <w:p w14:paraId="285985AF" w14:textId="2DEFF4CE" w:rsidR="00D45225" w:rsidRPr="009A5372" w:rsidRDefault="00D45225" w:rsidP="000A0442">
            <w:pPr>
              <w:suppressAutoHyphens/>
              <w:spacing w:before="60" w:after="60" w:line="60" w:lineRule="atLeast"/>
            </w:pPr>
          </w:p>
        </w:tc>
        <w:tc>
          <w:tcPr>
            <w:tcW w:w="2039" w:type="dxa"/>
            <w:shd w:val="clear" w:color="auto" w:fill="auto"/>
            <w:noWrap/>
          </w:tcPr>
          <w:p w14:paraId="0D6A6222" w14:textId="69FD1A89" w:rsidR="00D45225" w:rsidRPr="009A5372" w:rsidRDefault="00D45225" w:rsidP="000A0442">
            <w:pPr>
              <w:suppressAutoHyphens/>
              <w:spacing w:before="60" w:after="60" w:line="60" w:lineRule="atLeast"/>
            </w:pPr>
          </w:p>
        </w:tc>
        <w:tc>
          <w:tcPr>
            <w:tcW w:w="2191" w:type="dxa"/>
            <w:shd w:val="clear" w:color="auto" w:fill="auto"/>
          </w:tcPr>
          <w:p w14:paraId="45435C20" w14:textId="58A917A6" w:rsidR="00D45225" w:rsidRPr="009A5372" w:rsidRDefault="00D45225" w:rsidP="000A0442">
            <w:pPr>
              <w:suppressAutoHyphens/>
              <w:spacing w:before="60" w:after="60" w:line="60" w:lineRule="atLeast"/>
              <w:rPr>
                <w:b/>
              </w:rPr>
            </w:pPr>
          </w:p>
        </w:tc>
      </w:tr>
      <w:tr w:rsidR="00D45225" w14:paraId="6367B215" w14:textId="77777777" w:rsidTr="00207172">
        <w:trPr>
          <w:trHeight w:val="220"/>
          <w:jc w:val="center"/>
        </w:trPr>
        <w:tc>
          <w:tcPr>
            <w:tcW w:w="625" w:type="dxa"/>
            <w:shd w:val="clear" w:color="auto" w:fill="auto"/>
            <w:noWrap/>
          </w:tcPr>
          <w:p w14:paraId="27E78EC1" w14:textId="38E7F75B" w:rsidR="00D45225" w:rsidRPr="009A5372" w:rsidRDefault="00D45225" w:rsidP="000A0442">
            <w:pPr>
              <w:suppressAutoHyphens/>
              <w:spacing w:before="60" w:after="60" w:line="60" w:lineRule="atLeast"/>
            </w:pPr>
          </w:p>
        </w:tc>
        <w:tc>
          <w:tcPr>
            <w:tcW w:w="930" w:type="dxa"/>
            <w:shd w:val="clear" w:color="auto" w:fill="auto"/>
            <w:noWrap/>
          </w:tcPr>
          <w:p w14:paraId="66043F89" w14:textId="1B386EA9" w:rsidR="00D45225" w:rsidRPr="009A5372" w:rsidRDefault="00D45225" w:rsidP="000A0442">
            <w:pPr>
              <w:suppressAutoHyphens/>
              <w:spacing w:before="60" w:after="60" w:line="60" w:lineRule="atLeast"/>
            </w:pPr>
          </w:p>
        </w:tc>
        <w:tc>
          <w:tcPr>
            <w:tcW w:w="850" w:type="dxa"/>
          </w:tcPr>
          <w:p w14:paraId="4C06637B" w14:textId="38AE8BDD" w:rsidR="00D45225" w:rsidRPr="009A5372" w:rsidRDefault="00D45225" w:rsidP="000A0442">
            <w:pPr>
              <w:suppressAutoHyphens/>
              <w:spacing w:before="60" w:after="60" w:line="60" w:lineRule="atLeast"/>
            </w:pPr>
          </w:p>
        </w:tc>
        <w:tc>
          <w:tcPr>
            <w:tcW w:w="3260" w:type="dxa"/>
            <w:shd w:val="clear" w:color="auto" w:fill="auto"/>
            <w:noWrap/>
          </w:tcPr>
          <w:p w14:paraId="2C233110" w14:textId="4F0CCA02" w:rsidR="00D45225" w:rsidRPr="009A5372" w:rsidRDefault="00D45225" w:rsidP="000A0442">
            <w:pPr>
              <w:suppressAutoHyphens/>
              <w:spacing w:before="60" w:after="60" w:line="60" w:lineRule="atLeast"/>
            </w:pPr>
          </w:p>
        </w:tc>
        <w:tc>
          <w:tcPr>
            <w:tcW w:w="2039" w:type="dxa"/>
            <w:shd w:val="clear" w:color="auto" w:fill="auto"/>
            <w:noWrap/>
          </w:tcPr>
          <w:p w14:paraId="5D1E024F" w14:textId="4121F6FB" w:rsidR="00D45225" w:rsidRPr="009A5372" w:rsidRDefault="00D45225" w:rsidP="000A0442">
            <w:pPr>
              <w:suppressAutoHyphens/>
              <w:spacing w:before="60" w:after="60" w:line="60" w:lineRule="atLeast"/>
            </w:pPr>
          </w:p>
        </w:tc>
        <w:tc>
          <w:tcPr>
            <w:tcW w:w="2191" w:type="dxa"/>
            <w:shd w:val="clear" w:color="auto" w:fill="auto"/>
          </w:tcPr>
          <w:p w14:paraId="634B862F" w14:textId="3CC733FB" w:rsidR="00D45225" w:rsidRPr="009A5372" w:rsidRDefault="00D45225" w:rsidP="000A0442">
            <w:pPr>
              <w:suppressAutoHyphens/>
              <w:spacing w:before="60" w:after="60" w:line="60" w:lineRule="atLeast"/>
              <w:rPr>
                <w:b/>
              </w:rPr>
            </w:pP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77777777" w:rsidR="005750A7" w:rsidRPr="005750A7" w:rsidRDefault="005750A7" w:rsidP="005750A7">
      <w:pPr>
        <w:spacing w:before="0" w:line="240" w:lineRule="auto"/>
        <w:rPr>
          <w:rFonts w:eastAsia="宋体"/>
          <w:sz w:val="22"/>
          <w:lang w:eastAsia="zh-CN"/>
        </w:rPr>
      </w:pPr>
    </w:p>
    <w:p w14:paraId="2F955752" w14:textId="22B51BD4" w:rsidR="005750A7" w:rsidRPr="005750A7" w:rsidRDefault="005750A7" w:rsidP="005750A7">
      <w:pPr>
        <w:spacing w:before="0" w:line="240" w:lineRule="auto"/>
        <w:rPr>
          <w:b/>
          <w:sz w:val="22"/>
          <w:u w:val="single"/>
          <w:lang w:eastAsia="en-US"/>
        </w:rPr>
      </w:pPr>
      <w:r w:rsidRPr="005750A7">
        <w:rPr>
          <w:rFonts w:hint="eastAsia"/>
          <w:b/>
          <w:sz w:val="22"/>
          <w:u w:val="single"/>
          <w:lang w:eastAsia="en-US"/>
        </w:rPr>
        <w:t>1</w:t>
      </w:r>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“35.7.2.1 Latency sensitive traffic differentiation”</w:t>
      </w:r>
    </w:p>
    <w:p w14:paraId="16B11388" w14:textId="1398B97D"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Pr>
          <w:rFonts w:ascii="宋体" w:eastAsia="宋体" w:hAnsi="宋体" w:hint="eastAsia"/>
          <w:b/>
          <w:i/>
          <w:lang w:eastAsia="zh-CN"/>
        </w:rPr>
        <w:t>319</w:t>
      </w:r>
      <w:r>
        <w:rPr>
          <w:b/>
          <w:i/>
        </w:rPr>
        <w:t xml:space="preserve"> of </w:t>
      </w:r>
      <w:r w:rsidRPr="00E82212">
        <w:rPr>
          <w:b/>
          <w:i/>
        </w:rPr>
        <w:t>IEEE P802.11be™/D1.01</w:t>
      </w:r>
      <w:r w:rsidRPr="00305A0E">
        <w:rPr>
          <w:b/>
          <w:i/>
        </w:rPr>
        <w:t>,</w:t>
      </w:r>
      <w:r w:rsidRPr="00305A0E">
        <w:t xml:space="preserve"> </w:t>
      </w:r>
      <w:r w:rsidRPr="00305A0E">
        <w:rPr>
          <w:b/>
          <w:i/>
        </w:rPr>
        <w:t>please</w:t>
      </w:r>
      <w:r>
        <w:rPr>
          <w:b/>
          <w:i/>
        </w:rPr>
        <w:t xml:space="preserve"> </w:t>
      </w:r>
      <w:r>
        <w:rPr>
          <w:rStyle w:val="SC11323594"/>
        </w:rPr>
        <w:t>insert the following</w:t>
      </w:r>
      <w:r w:rsidRPr="00E82212">
        <w:rPr>
          <w:bCs/>
          <w:iCs/>
        </w:rPr>
        <w:t xml:space="preserve"> </w:t>
      </w:r>
      <w:r w:rsidRPr="00305A0E">
        <w:rPr>
          <w:b/>
          <w:i/>
        </w:rPr>
        <w:t>paragraph</w:t>
      </w:r>
      <w:r>
        <w:rPr>
          <w:b/>
          <w:i/>
        </w:rPr>
        <w:t>s</w:t>
      </w:r>
      <w:r w:rsidRPr="00305A0E">
        <w:rPr>
          <w:b/>
          <w:i/>
        </w:rPr>
        <w:t xml:space="preserve"> </w:t>
      </w:r>
      <w:r>
        <w:rPr>
          <w:b/>
          <w:i/>
        </w:rPr>
        <w:t>in</w:t>
      </w:r>
      <w:r w:rsidRPr="00305A0E">
        <w:rPr>
          <w:b/>
          <w:i/>
        </w:rPr>
        <w:t xml:space="preserve"> </w:t>
      </w:r>
      <w:r w:rsidRPr="00FE523F">
        <w:rPr>
          <w:b/>
          <w:i/>
        </w:rPr>
        <w:t>35.7.2.1 Latency sensitive traffic differentiation</w:t>
      </w:r>
      <w:r>
        <w:t xml:space="preserve"> (</w:t>
      </w:r>
      <w:r w:rsidRPr="00305A0E">
        <w:rPr>
          <w:color w:val="7030A0"/>
        </w:rPr>
        <w:t xml:space="preserve">CID </w:t>
      </w:r>
      <w:r w:rsidRPr="002C0E05">
        <w:rPr>
          <w:color w:val="7030A0"/>
        </w:rPr>
        <w:t>5</w:t>
      </w:r>
      <w:r>
        <w:rPr>
          <w:color w:val="7030A0"/>
        </w:rPr>
        <w:t>951</w:t>
      </w:r>
      <w:r>
        <w:t xml:space="preserve">) </w:t>
      </w:r>
    </w:p>
    <w:p w14:paraId="1897E822" w14:textId="77777777" w:rsidR="00FE523F" w:rsidRPr="00FE523F" w:rsidRDefault="00FE523F" w:rsidP="00933555">
      <w:pPr>
        <w:pStyle w:val="T"/>
        <w:spacing w:before="0"/>
        <w:rPr>
          <w:lang w:val="en-GB"/>
        </w:rPr>
      </w:pPr>
    </w:p>
    <w:p w14:paraId="504D76CA" w14:textId="015B8FA0" w:rsidR="00354EEC" w:rsidRPr="00E1458E" w:rsidRDefault="00B1549C" w:rsidP="00A5028B">
      <w:pPr>
        <w:pStyle w:val="T"/>
      </w:pPr>
      <w:r>
        <w:t>An</w:t>
      </w:r>
      <w:r w:rsidRPr="00CC3112">
        <w:t xml:space="preserve"> </w:t>
      </w:r>
      <w:r>
        <w:t>EHT</w:t>
      </w:r>
      <w:r w:rsidRPr="00CC3112">
        <w:t xml:space="preserve"> </w:t>
      </w:r>
      <w:r>
        <w:t>AP</w:t>
      </w:r>
      <w:r w:rsidRPr="00CC3112">
        <w:t xml:space="preserve"> </w:t>
      </w:r>
      <w:r>
        <w:t>that</w:t>
      </w:r>
      <w:r w:rsidRPr="00CC3112">
        <w:t xml:space="preserve"> </w:t>
      </w:r>
      <w:r>
        <w:t>has</w:t>
      </w:r>
      <w:r w:rsidRPr="00CC3112">
        <w:t xml:space="preserve"> </w:t>
      </w:r>
      <w:r>
        <w:t xml:space="preserve">dot11RestrictedTWTOptionImplemented equal to true may announce </w:t>
      </w:r>
      <w:r w:rsidR="002360BE">
        <w:t>a</w:t>
      </w:r>
      <w:r>
        <w:t xml:space="preserve"> </w:t>
      </w:r>
      <w:r w:rsidR="002360BE" w:rsidRPr="00CC3112">
        <w:t>c</w:t>
      </w:r>
      <w:r w:rsidRPr="00CC3112">
        <w:t>riterion</w:t>
      </w:r>
      <w:r w:rsidRPr="00B1549C">
        <w:t xml:space="preserve"> for</w:t>
      </w:r>
      <w:r>
        <w:t xml:space="preserve"> </w:t>
      </w:r>
      <w:r w:rsidRPr="00B1549C">
        <w:t xml:space="preserve">differentiating </w:t>
      </w:r>
      <w:hyperlink r:id="rId8" w:history="1"/>
      <w:r>
        <w:t xml:space="preserve"> </w:t>
      </w:r>
      <w:r w:rsidR="002360BE">
        <w:t>l</w:t>
      </w:r>
      <w:r w:rsidRPr="00B1549C">
        <w:t xml:space="preserve">atency </w:t>
      </w:r>
      <w:r w:rsidR="002360BE">
        <w:t>s</w:t>
      </w:r>
      <w:r w:rsidRPr="00B1549C">
        <w:t xml:space="preserve">ensitive </w:t>
      </w:r>
      <w:r w:rsidR="002360BE">
        <w:t>t</w:t>
      </w:r>
      <w:r w:rsidRPr="00B1549C">
        <w:t xml:space="preserve">raffic by </w:t>
      </w:r>
      <w:r w:rsidR="002360BE">
        <w:t>contain</w:t>
      </w:r>
      <w:r w:rsidRPr="00B1549C">
        <w:t xml:space="preserve">ing a Latency Sensitive Traffic Criterion </w:t>
      </w:r>
      <w:r w:rsidR="004B7D32">
        <w:t>e</w:t>
      </w:r>
      <w:r w:rsidRPr="00B1549C">
        <w:t>lement in transmitted Beacon</w:t>
      </w:r>
      <w:r w:rsidR="00824FBC">
        <w:t xml:space="preserve"> frames</w:t>
      </w:r>
      <w:r w:rsidRPr="00B1549C">
        <w:t xml:space="preserve">, </w:t>
      </w:r>
      <w:r w:rsidRPr="00CC3112">
        <w:t xml:space="preserve">Probe </w:t>
      </w:r>
      <w:r w:rsidR="00824FBC">
        <w:t>R</w:t>
      </w:r>
      <w:r w:rsidR="00824FBC" w:rsidRPr="00CC3112">
        <w:t xml:space="preserve">esponse </w:t>
      </w:r>
      <w:r w:rsidRPr="00CC3112">
        <w:t xml:space="preserve">frames, </w:t>
      </w:r>
      <w:r w:rsidR="0003342C">
        <w:t xml:space="preserve">and </w:t>
      </w:r>
      <w:r w:rsidRPr="00CC3112">
        <w:t xml:space="preserve">(Re)Association </w:t>
      </w:r>
      <w:r w:rsidR="00824FBC">
        <w:t xml:space="preserve">Response </w:t>
      </w:r>
      <w:r w:rsidRPr="00CC3112">
        <w:t>frames, and other management frames.</w:t>
      </w:r>
      <w:r w:rsidR="009A746E" w:rsidRPr="00CC3112">
        <w:t xml:space="preserve"> </w:t>
      </w:r>
      <w:r w:rsidR="009A746E">
        <w:t xml:space="preserve">A non-AP EHT STA </w:t>
      </w:r>
      <w:r w:rsidR="0003342C">
        <w:t>identif</w:t>
      </w:r>
      <w:r w:rsidR="00A5028B">
        <w:t>ies</w:t>
      </w:r>
      <w:hyperlink r:id="rId9" w:history="1"/>
      <w:r w:rsidR="009A746E">
        <w:t xml:space="preserve"> l</w:t>
      </w:r>
      <w:r w:rsidR="009A746E" w:rsidRPr="00B1549C">
        <w:t xml:space="preserve">atency </w:t>
      </w:r>
      <w:r w:rsidR="009A746E">
        <w:t>s</w:t>
      </w:r>
      <w:r w:rsidR="009A746E" w:rsidRPr="00B1549C">
        <w:t xml:space="preserve">ensitive </w:t>
      </w:r>
      <w:r w:rsidR="009A746E">
        <w:t>t</w:t>
      </w:r>
      <w:r w:rsidR="009A746E" w:rsidRPr="00B1549C">
        <w:t>raffic</w:t>
      </w:r>
      <w:r w:rsidR="009A746E" w:rsidRPr="00CC3112">
        <w:t xml:space="preserve"> </w:t>
      </w:r>
      <w:r w:rsidR="0003342C">
        <w:t xml:space="preserve">according to the </w:t>
      </w:r>
      <w:r w:rsidR="0003342C" w:rsidRPr="00CC3112">
        <w:t>criterion</w:t>
      </w:r>
      <w:r w:rsidR="0003342C" w:rsidRPr="00B1549C">
        <w:t xml:space="preserve"> </w:t>
      </w:r>
      <w:r w:rsidR="0003342C">
        <w:t xml:space="preserve">indicated in the most recently received </w:t>
      </w:r>
      <w:r w:rsidR="002D65F6" w:rsidRPr="00B1549C">
        <w:t xml:space="preserve">Latency Sensitive Traffic Criterion </w:t>
      </w:r>
      <w:r w:rsidR="004B7D32">
        <w:t>e</w:t>
      </w:r>
      <w:r w:rsidR="002D65F6" w:rsidRPr="00B1549C">
        <w:t>lement</w:t>
      </w:r>
      <w:r w:rsidR="002D65F6" w:rsidRPr="00CC3112">
        <w:rPr>
          <w:rFonts w:hint="eastAsia"/>
        </w:rPr>
        <w:t>.</w:t>
      </w:r>
      <w:r w:rsidR="00CC3112">
        <w:t xml:space="preserve"> </w:t>
      </w:r>
      <w:r w:rsidR="00A5028B">
        <w:t>A</w:t>
      </w:r>
      <w:r w:rsidR="00DA23B8" w:rsidRPr="00E1458E">
        <w:t xml:space="preserve"> </w:t>
      </w:r>
      <w:r w:rsidR="0087650D">
        <w:t>traffic stream</w:t>
      </w:r>
      <w:r w:rsidR="00DA23B8" w:rsidRPr="00E1458E">
        <w:t xml:space="preserve"> is identified as </w:t>
      </w:r>
      <w:r w:rsidR="0087650D">
        <w:t>l</w:t>
      </w:r>
      <w:r w:rsidR="00DA23B8" w:rsidRPr="00E1458E">
        <w:t xml:space="preserve">atency </w:t>
      </w:r>
      <w:r w:rsidR="0087650D">
        <w:t>s</w:t>
      </w:r>
      <w:r w:rsidR="00DA23B8" w:rsidRPr="00E1458E">
        <w:t xml:space="preserve">ensitive </w:t>
      </w:r>
      <w:r w:rsidR="0087650D">
        <w:t>t</w:t>
      </w:r>
      <w:r w:rsidR="00DA23B8" w:rsidRPr="00E1458E">
        <w:t>raffic</w:t>
      </w:r>
      <w:r w:rsidR="00A5028B">
        <w:t xml:space="preserve"> i</w:t>
      </w:r>
      <w:r w:rsidR="00A5028B" w:rsidRPr="00E1458E">
        <w:t>f the following conditions are met</w:t>
      </w:r>
      <w:r w:rsidR="00AE3214">
        <w:t>:</w:t>
      </w:r>
      <w:r w:rsidR="00AE3214" w:rsidRPr="00E1458E">
        <w:t xml:space="preserve"> </w:t>
      </w:r>
    </w:p>
    <w:p w14:paraId="4E38B28B" w14:textId="046F3F92"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 xml:space="preserve">The </w:t>
      </w:r>
      <w:r w:rsidR="00DF7F9B">
        <w:t>d</w:t>
      </w:r>
      <w:r w:rsidR="00DF7F9B" w:rsidRPr="00BE5322">
        <w:t xml:space="preserve">elay </w:t>
      </w:r>
      <w:r w:rsidR="00DF7F9B">
        <w:t>b</w:t>
      </w:r>
      <w:r w:rsidR="00DF7F9B" w:rsidRPr="00BE5322">
        <w:t xml:space="preserve">ound </w:t>
      </w:r>
      <w:r>
        <w:t xml:space="preserve">for </w:t>
      </w:r>
      <w:r w:rsidR="00AE3214">
        <w:t xml:space="preserve">the </w:t>
      </w:r>
      <w:r w:rsidRPr="00BE5322">
        <w:t>traffic stream</w:t>
      </w:r>
      <w:r w:rsidR="002A5F08" w:rsidRPr="00BE5322">
        <w:t xml:space="preserve"> is less than or equal to the threshold for </w:t>
      </w:r>
      <w:r w:rsidR="00DF7F9B">
        <w:t>d</w:t>
      </w:r>
      <w:r w:rsidR="00DF7F9B" w:rsidRPr="00BE5322">
        <w:t xml:space="preserve">elay </w:t>
      </w:r>
      <w:r w:rsidR="00DF7F9B">
        <w:t>b</w:t>
      </w:r>
      <w:r w:rsidR="00DF7F9B" w:rsidRPr="00BE5322">
        <w:t xml:space="preserve">ound </w:t>
      </w:r>
      <w:r w:rsidR="00AE3214">
        <w:t>indicated</w:t>
      </w:r>
      <w:r w:rsidR="00AE3214" w:rsidRPr="00BE5322">
        <w:t xml:space="preserve"> </w:t>
      </w:r>
      <w:r w:rsidR="002A5F08" w:rsidRPr="00BE5322">
        <w:t>in</w:t>
      </w:r>
      <w:r w:rsidR="0087650D">
        <w:t xml:space="preserve"> the</w:t>
      </w:r>
      <w:r w:rsidR="002A5F08" w:rsidRPr="00BE5322">
        <w:t xml:space="preserve"> </w:t>
      </w:r>
      <w:r w:rsidR="00DF7F9B">
        <w:t>T</w:t>
      </w:r>
      <w:r w:rsidR="00DF7F9B" w:rsidRPr="00BE5322">
        <w:t xml:space="preserve">hreshold </w:t>
      </w:r>
      <w:r w:rsidR="002A5F08" w:rsidRPr="00BE5322">
        <w:t>for Delay Bound field</w:t>
      </w:r>
      <w:r>
        <w:t xml:space="preserve"> of </w:t>
      </w:r>
      <w:r w:rsidRPr="00B1549C">
        <w:t xml:space="preserve">Latency Sensitive Traffic Criterion </w:t>
      </w:r>
      <w:r w:rsidR="0087650D">
        <w:t>e</w:t>
      </w:r>
      <w:r w:rsidRPr="00B1549C">
        <w:t>lement</w:t>
      </w:r>
      <w:r>
        <w:t>.</w:t>
      </w:r>
    </w:p>
    <w:p w14:paraId="70266F09" w14:textId="5319DFA3"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002A5F08" w:rsidRPr="00BE5322">
        <w:t xml:space="preserve"> </w:t>
      </w:r>
      <w:r w:rsidR="00B7587E">
        <w:t>MSDU</w:t>
      </w:r>
      <w:r w:rsidR="002A5F08" w:rsidRPr="00BE5322">
        <w:t xml:space="preserve"> </w:t>
      </w:r>
      <w:r w:rsidR="00DF7F9B">
        <w:t>d</w:t>
      </w:r>
      <w:r w:rsidR="00DF7F9B" w:rsidRPr="00BE5322">
        <w:t xml:space="preserve">elivery </w:t>
      </w:r>
      <w:r w:rsidR="00DF7F9B">
        <w:t>r</w:t>
      </w:r>
      <w:r w:rsidR="00DF7F9B" w:rsidRPr="00BE5322">
        <w:t xml:space="preserve">atio </w:t>
      </w:r>
      <w:r>
        <w:t xml:space="preserve">for </w:t>
      </w:r>
      <w:r w:rsidR="00AE3214">
        <w:t xml:space="preserve">the </w:t>
      </w:r>
      <w:r w:rsidRPr="00BE5322">
        <w:t>traffic stream</w:t>
      </w:r>
      <w:r w:rsidR="002A5F08" w:rsidRPr="00BE5322">
        <w:t xml:space="preserve"> is </w:t>
      </w:r>
      <w:r w:rsidR="0087650D">
        <w:t>larger</w:t>
      </w:r>
      <w:r w:rsidR="002A5F08" w:rsidRPr="00BE5322">
        <w:t xml:space="preserve"> than or equal to the threshold for </w:t>
      </w:r>
      <w:r w:rsidR="00B7587E">
        <w:t>MSDU</w:t>
      </w:r>
      <w:r w:rsidR="002A5F08" w:rsidRPr="00BE5322">
        <w:t xml:space="preserve"> </w:t>
      </w:r>
      <w:r w:rsidR="00A5028B">
        <w:t>d</w:t>
      </w:r>
      <w:r w:rsidR="00A5028B" w:rsidRPr="00BE5322">
        <w:t xml:space="preserve">elivery </w:t>
      </w:r>
      <w:r w:rsidR="00A5028B">
        <w:t>r</w:t>
      </w:r>
      <w:r w:rsidR="00A5028B" w:rsidRPr="00BE5322">
        <w:t xml:space="preserve">atio </w:t>
      </w:r>
      <w:r w:rsidR="00AE3214">
        <w:t>indicated</w:t>
      </w:r>
      <w:r w:rsidR="00AE3214" w:rsidRPr="00BE5322">
        <w:t xml:space="preserve"> </w:t>
      </w:r>
      <w:r w:rsidR="002A5F08" w:rsidRPr="00BE5322">
        <w:t xml:space="preserve">in the </w:t>
      </w:r>
      <w:r w:rsidR="00A5028B">
        <w:t>T</w:t>
      </w:r>
      <w:r w:rsidR="00A5028B" w:rsidRPr="00BE5322">
        <w:t xml:space="preserve">hreshold </w:t>
      </w:r>
      <w:r w:rsidR="002A5F08" w:rsidRPr="00BE5322">
        <w:t xml:space="preserve">for </w:t>
      </w:r>
      <w:r w:rsidR="00B7587E">
        <w:t>MSDU</w:t>
      </w:r>
      <w:r w:rsidR="002A5F08" w:rsidRPr="00BE5322">
        <w:t xml:space="preserve"> Delivery Ratio field</w:t>
      </w:r>
      <w:r>
        <w:t xml:space="preserve"> of </w:t>
      </w:r>
      <w:r w:rsidRPr="00B1549C">
        <w:t xml:space="preserve">Latency Sensitive Traffic Criterion </w:t>
      </w:r>
      <w:r w:rsidR="0087650D">
        <w:t>e</w:t>
      </w:r>
      <w:r w:rsidRPr="00B1549C">
        <w:t>lement</w:t>
      </w:r>
      <w:r>
        <w:t xml:space="preserve"> if </w:t>
      </w:r>
      <w:r w:rsidR="00CF6B2A">
        <w:t>present</w:t>
      </w:r>
      <w:r>
        <w:t>.</w:t>
      </w:r>
    </w:p>
    <w:p w14:paraId="0D7EA5BB" w14:textId="0C995F7B"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002A5F08" w:rsidRPr="00BE5322">
        <w:t xml:space="preserve"> </w:t>
      </w:r>
      <w:r w:rsidR="00A5028B">
        <w:t>m</w:t>
      </w:r>
      <w:r w:rsidR="00A5028B" w:rsidRPr="00BE5322">
        <w:t xml:space="preserve">aximum </w:t>
      </w:r>
      <w:r w:rsidR="00A5028B">
        <w:t>j</w:t>
      </w:r>
      <w:r w:rsidR="00A5028B" w:rsidRPr="00BE5322">
        <w:t xml:space="preserve">itter </w:t>
      </w:r>
      <w:r>
        <w:t xml:space="preserve">for </w:t>
      </w:r>
      <w:r w:rsidR="00AE3214">
        <w:t xml:space="preserve">the </w:t>
      </w:r>
      <w:r w:rsidRPr="00BE5322">
        <w:t xml:space="preserve">traffic </w:t>
      </w:r>
      <w:proofErr w:type="spellStart"/>
      <w:r w:rsidRPr="00BE5322">
        <w:t>stream</w:t>
      </w:r>
      <w:r>
        <w:t>e</w:t>
      </w:r>
      <w:proofErr w:type="spellEnd"/>
      <w:r w:rsidRPr="00E1458E">
        <w:t xml:space="preserve"> </w:t>
      </w:r>
      <w:r w:rsidR="002A5F08" w:rsidRPr="00BE5322">
        <w:t xml:space="preserve">is less than or equal to the threshold for </w:t>
      </w:r>
      <w:r w:rsidR="00A5028B">
        <w:t>m</w:t>
      </w:r>
      <w:r w:rsidR="00A5028B" w:rsidRPr="00BE5322">
        <w:t xml:space="preserve">aximum </w:t>
      </w:r>
      <w:r w:rsidR="00A5028B">
        <w:t>j</w:t>
      </w:r>
      <w:r w:rsidR="00A5028B" w:rsidRPr="00BE5322">
        <w:t xml:space="preserve">itter </w:t>
      </w:r>
      <w:r w:rsidR="00AE3214">
        <w:t>indicated</w:t>
      </w:r>
      <w:r w:rsidR="00AE3214" w:rsidRPr="00BE5322">
        <w:t xml:space="preserve"> </w:t>
      </w:r>
      <w:r w:rsidR="002A5F08" w:rsidRPr="00BE5322">
        <w:t xml:space="preserve">in the </w:t>
      </w:r>
      <w:r w:rsidR="00A5028B">
        <w:t>T</w:t>
      </w:r>
      <w:r w:rsidR="00A5028B" w:rsidRPr="00BE5322">
        <w:t xml:space="preserve">hreshold </w:t>
      </w:r>
      <w:r w:rsidR="002A5F08" w:rsidRPr="00BE5322">
        <w:t xml:space="preserve">for Maximum Jitter field </w:t>
      </w:r>
      <w:r w:rsidR="005A511C">
        <w:t xml:space="preserve">of </w:t>
      </w:r>
      <w:r w:rsidR="005A511C" w:rsidRPr="00B1549C">
        <w:t xml:space="preserve">Latency Sensitive Traffic Criterion </w:t>
      </w:r>
      <w:r w:rsidR="00A12862">
        <w:t>e</w:t>
      </w:r>
      <w:r w:rsidR="005A511C" w:rsidRPr="00B1549C">
        <w:t>lement</w:t>
      </w:r>
      <w:r w:rsidR="005A511C">
        <w:t xml:space="preserve"> if present</w:t>
      </w:r>
      <w:r w:rsidR="002A5F08" w:rsidRPr="00BE5322">
        <w:t>.</w:t>
      </w:r>
    </w:p>
    <w:p w14:paraId="3CA6EBDE" w14:textId="3A3E21AB" w:rsidR="00CC3112" w:rsidRPr="00CC3112" w:rsidRDefault="007860BD" w:rsidP="00354EEC">
      <w:pPr>
        <w:widowControl w:val="0"/>
        <w:autoSpaceDE w:val="0"/>
        <w:autoSpaceDN w:val="0"/>
        <w:adjustRightInd w:val="0"/>
        <w:spacing w:after="240" w:line="240" w:lineRule="auto"/>
        <w:rPr>
          <w:color w:val="000000"/>
          <w:sz w:val="24"/>
          <w:szCs w:val="24"/>
          <w:lang w:val="en-US"/>
        </w:rPr>
      </w:pPr>
      <w:r>
        <w:t>O</w:t>
      </w:r>
      <w:r w:rsidR="008258FB" w:rsidRPr="00E1458E">
        <w:t xml:space="preserve">therwise </w:t>
      </w:r>
      <w:r w:rsidR="008258FB">
        <w:t xml:space="preserve">it </w:t>
      </w:r>
      <w:r w:rsidR="008258FB" w:rsidRPr="00E1458E">
        <w:t xml:space="preserve">is not identified as </w:t>
      </w:r>
      <w:r w:rsidR="008258FB">
        <w:t>l</w:t>
      </w:r>
      <w:r w:rsidR="008258FB" w:rsidRPr="00E1458E">
        <w:t xml:space="preserve">atency </w:t>
      </w:r>
      <w:r w:rsidR="008258FB">
        <w:t>s</w:t>
      </w:r>
      <w:r w:rsidR="008258FB" w:rsidRPr="00E1458E">
        <w:t xml:space="preserve">ensitive </w:t>
      </w:r>
      <w:r w:rsidR="008258FB">
        <w:t>t</w:t>
      </w:r>
      <w:r w:rsidR="008258FB" w:rsidRPr="00E1458E">
        <w:t>raffic.</w:t>
      </w:r>
    </w:p>
    <w:p w14:paraId="76D49A1C" w14:textId="77777777" w:rsidR="00135E0E" w:rsidRPr="005750A7" w:rsidRDefault="00135E0E" w:rsidP="00135E0E">
      <w:pPr>
        <w:spacing w:before="0" w:line="240" w:lineRule="auto"/>
        <w:rPr>
          <w:b/>
          <w:sz w:val="22"/>
          <w:u w:val="single"/>
          <w:lang w:eastAsia="en-US"/>
        </w:rPr>
      </w:pPr>
      <w:r>
        <w:rPr>
          <w:b/>
          <w:sz w:val="22"/>
          <w:u w:val="single"/>
          <w:lang w:eastAsia="en-US"/>
        </w:rPr>
        <w:t>2</w:t>
      </w:r>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Pr="00BC4DE4">
        <w:rPr>
          <w:b/>
          <w:sz w:val="22"/>
          <w:u w:val="single"/>
          <w:lang w:eastAsia="en-US"/>
        </w:rPr>
        <w:t>9.4.2 Elements</w:t>
      </w:r>
      <w:r w:rsidRPr="005750A7">
        <w:rPr>
          <w:b/>
          <w:sz w:val="22"/>
          <w:u w:val="single"/>
          <w:lang w:eastAsia="en-US"/>
        </w:rPr>
        <w:t>”</w:t>
      </w:r>
    </w:p>
    <w:p w14:paraId="32960340" w14:textId="73282BE6"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Pr>
          <w:rFonts w:ascii="宋体" w:eastAsia="宋体" w:hAnsi="宋体"/>
          <w:b/>
          <w:i/>
          <w:lang w:eastAsia="zh-CN"/>
        </w:rPr>
        <w:t>163</w:t>
      </w:r>
      <w:r>
        <w:rPr>
          <w:b/>
          <w:i/>
        </w:rPr>
        <w:t xml:space="preserve"> of </w:t>
      </w:r>
      <w:r w:rsidRPr="00E82212">
        <w:rPr>
          <w:b/>
          <w:i/>
        </w:rPr>
        <w:t>IEEE P802.11be™/D1.01</w:t>
      </w:r>
      <w:r>
        <w:rPr>
          <w:b/>
          <w:i/>
        </w:rPr>
        <w:t xml:space="preserve">, </w:t>
      </w:r>
      <w:r w:rsidRPr="00E82212">
        <w:rPr>
          <w:b/>
          <w:i/>
        </w:rPr>
        <w:t xml:space="preserve">please </w:t>
      </w:r>
      <w:r>
        <w:rPr>
          <w:b/>
          <w:i/>
        </w:rPr>
        <w:t>i</w:t>
      </w:r>
      <w:r w:rsidRPr="00FE523F">
        <w:rPr>
          <w:b/>
          <w:bCs/>
          <w:i/>
          <w:iCs/>
          <w:sz w:val="22"/>
          <w:szCs w:val="22"/>
        </w:rPr>
        <w:t>nsert the following new subclause at the end of subclause 9.4.2</w:t>
      </w:r>
      <w:r>
        <w:rPr>
          <w:b/>
          <w:bCs/>
          <w:i/>
          <w:iCs/>
          <w:sz w:val="22"/>
          <w:szCs w:val="22"/>
        </w:rPr>
        <w:t xml:space="preserve"> </w:t>
      </w:r>
      <w:r w:rsidRPr="00FE523F">
        <w:rPr>
          <w:b/>
          <w:bCs/>
          <w:i/>
          <w:iCs/>
          <w:sz w:val="22"/>
          <w:szCs w:val="22"/>
        </w:rPr>
        <w:t xml:space="preserve">Elements </w:t>
      </w:r>
      <w:r>
        <w:t>(</w:t>
      </w:r>
      <w:r w:rsidRPr="00305A0E">
        <w:rPr>
          <w:color w:val="7030A0"/>
        </w:rPr>
        <w:t xml:space="preserve">CID </w:t>
      </w:r>
      <w:r w:rsidRPr="002C0E05">
        <w:rPr>
          <w:color w:val="7030A0"/>
        </w:rPr>
        <w:t>5</w:t>
      </w:r>
      <w:r>
        <w:rPr>
          <w:color w:val="7030A0"/>
        </w:rPr>
        <w:t>951</w:t>
      </w:r>
      <w:r>
        <w:t>)</w:t>
      </w:r>
      <w:r w:rsidRPr="00FE523F">
        <w:rPr>
          <w:b/>
          <w:bCs/>
          <w:i/>
          <w:iCs/>
          <w:sz w:val="22"/>
          <w:szCs w:val="22"/>
        </w:rPr>
        <w:t>:</w:t>
      </w:r>
    </w:p>
    <w:p w14:paraId="515C3674" w14:textId="77777777" w:rsidR="00FE523F" w:rsidRPr="00FE523F" w:rsidRDefault="00FE523F" w:rsidP="00933555">
      <w:pPr>
        <w:pStyle w:val="T"/>
        <w:spacing w:before="0"/>
        <w:rPr>
          <w:lang w:val="en-GB"/>
        </w:rPr>
      </w:pPr>
    </w:p>
    <w:p w14:paraId="0623F6DC" w14:textId="19FB1B8A" w:rsidR="00C6245A" w:rsidRDefault="00C6245A" w:rsidP="00C6245A">
      <w:pPr>
        <w:pStyle w:val="T"/>
      </w:pPr>
      <w:r>
        <w:t>The</w:t>
      </w:r>
      <w:r w:rsidRPr="00C6245A">
        <w:t xml:space="preserve"> </w:t>
      </w:r>
      <w:r>
        <w:t>format</w:t>
      </w:r>
      <w:r w:rsidRPr="00C6245A">
        <w:t xml:space="preserve"> </w:t>
      </w:r>
      <w:r>
        <w:t>of</w:t>
      </w:r>
      <w:r w:rsidRPr="00C6245A">
        <w:t xml:space="preserve"> </w:t>
      </w:r>
      <w:r>
        <w:t>the</w:t>
      </w:r>
      <w:r w:rsidRPr="00C6245A">
        <w:t xml:space="preserve"> </w:t>
      </w:r>
      <w:r>
        <w:t>L</w:t>
      </w:r>
      <w:r w:rsidRPr="00C6245A">
        <w:t xml:space="preserve">atency Sensitive Traffic Criterion </w:t>
      </w:r>
      <w:r>
        <w:t>element</w:t>
      </w:r>
      <w:r w:rsidRPr="00C6245A">
        <w:t xml:space="preserve"> </w:t>
      </w:r>
      <w:r>
        <w:t>is</w:t>
      </w:r>
      <w:r w:rsidRPr="00C6245A">
        <w:t xml:space="preserve"> </w:t>
      </w:r>
      <w:r>
        <w:t>defined</w:t>
      </w:r>
      <w:r w:rsidRPr="00C6245A">
        <w:t xml:space="preserve"> </w:t>
      </w:r>
      <w:r>
        <w:t>in</w:t>
      </w:r>
      <w:r w:rsidRPr="00C6245A">
        <w:t xml:space="preserve"> </w:t>
      </w:r>
      <w:hyperlink w:anchor="bookmark93" w:history="1">
        <w:r>
          <w:t>Figure</w:t>
        </w:r>
        <w:r w:rsidRPr="00C6245A">
          <w:t xml:space="preserve"> </w:t>
        </w:r>
        <w:r>
          <w:t>9-xxx</w:t>
        </w:r>
        <w:r w:rsidRPr="00C6245A">
          <w:t xml:space="preserve"> </w:t>
        </w:r>
        <w:r>
          <w:t>(</w:t>
        </w:r>
        <w:r w:rsidRPr="00C6245A">
          <w:t>Latency Sensitive Traffic Criterion element format</w:t>
        </w:r>
        <w:r>
          <w:t>)</w:t>
        </w:r>
      </w:hyperlink>
      <w:r>
        <w:t>.</w:t>
      </w:r>
      <w:r w:rsidRPr="00C6245A">
        <w:t xml:space="preserve"> </w:t>
      </w:r>
      <w:r>
        <w:t>The</w:t>
      </w:r>
      <w:r w:rsidRPr="00C6245A">
        <w:t xml:space="preserve"> </w:t>
      </w:r>
      <w:r>
        <w:t>frames</w:t>
      </w:r>
      <w:r w:rsidRPr="00C6245A">
        <w:t xml:space="preserve"> </w:t>
      </w:r>
      <w:r>
        <w:t xml:space="preserve">carrying this element and usage of this element are described in </w:t>
      </w:r>
      <w:r w:rsidRPr="00C6245A">
        <w:t>35.7.2.1 Latency sensitive traffic differentiation</w:t>
      </w:r>
      <w:r>
        <w:t>.</w:t>
      </w:r>
    </w:p>
    <w:p w14:paraId="6D98488B" w14:textId="77777777" w:rsidR="00C6245A" w:rsidRDefault="00C6245A" w:rsidP="00A12862">
      <w:pPr>
        <w:pStyle w:val="af9"/>
        <w:kinsoku w:val="0"/>
        <w:overflowPunct w:val="0"/>
        <w:rPr>
          <w:sz w:val="21"/>
          <w:szCs w:val="21"/>
        </w:rPr>
      </w:pPr>
    </w:p>
    <w:tbl>
      <w:tblPr>
        <w:tblW w:w="0" w:type="auto"/>
        <w:tblInd w:w="552" w:type="dxa"/>
        <w:tblLayout w:type="fixed"/>
        <w:tblCellMar>
          <w:left w:w="0" w:type="dxa"/>
          <w:right w:w="0" w:type="dxa"/>
        </w:tblCellMar>
        <w:tblLook w:val="0000" w:firstRow="0" w:lastRow="0" w:firstColumn="0" w:lastColumn="0" w:noHBand="0" w:noVBand="0"/>
      </w:tblPr>
      <w:tblGrid>
        <w:gridCol w:w="1000"/>
        <w:gridCol w:w="1134"/>
        <w:gridCol w:w="1417"/>
        <w:gridCol w:w="1418"/>
        <w:gridCol w:w="1418"/>
        <w:gridCol w:w="1275"/>
        <w:gridCol w:w="1276"/>
      </w:tblGrid>
      <w:tr w:rsidR="00191B21" w14:paraId="3ABB6DC0" w14:textId="1E2DE884" w:rsidTr="00CB0B94">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406C705" w14:textId="77777777" w:rsidR="00191B21" w:rsidRDefault="00191B21" w:rsidP="00670431">
            <w:pPr>
              <w:pStyle w:val="TableParagraph"/>
              <w:kinsoku w:val="0"/>
              <w:overflowPunct w:val="0"/>
              <w:spacing w:before="8"/>
              <w:rPr>
                <w:sz w:val="22"/>
                <w:szCs w:val="22"/>
              </w:rPr>
            </w:pPr>
          </w:p>
          <w:p w14:paraId="630DD478" w14:textId="77777777" w:rsidR="00191B21" w:rsidRDefault="00191B21" w:rsidP="00AD4797">
            <w:pPr>
              <w:pStyle w:val="TableParagraph"/>
              <w:kinsoku w:val="0"/>
              <w:overflowPunct w:val="0"/>
              <w:ind w:left="141"/>
              <w:rPr>
                <w:rFonts w:ascii="Arial" w:hAnsi="Arial" w:cs="Arial"/>
                <w:sz w:val="16"/>
                <w:szCs w:val="16"/>
              </w:rPr>
            </w:pPr>
            <w:r>
              <w:rPr>
                <w:rFonts w:ascii="Arial" w:hAnsi="Arial" w:cs="Arial"/>
                <w:sz w:val="16"/>
                <w:szCs w:val="16"/>
              </w:rPr>
              <w:t>Element ID</w:t>
            </w:r>
          </w:p>
        </w:tc>
        <w:tc>
          <w:tcPr>
            <w:tcW w:w="1134" w:type="dxa"/>
            <w:tcBorders>
              <w:top w:val="single" w:sz="12" w:space="0" w:color="000000"/>
              <w:left w:val="single" w:sz="12" w:space="0" w:color="000000"/>
              <w:bottom w:val="single" w:sz="12" w:space="0" w:color="000000"/>
              <w:right w:val="single" w:sz="12" w:space="0" w:color="000000"/>
            </w:tcBorders>
          </w:tcPr>
          <w:p w14:paraId="249CEEA4" w14:textId="77777777" w:rsidR="00191B21" w:rsidRDefault="00191B21" w:rsidP="00670431">
            <w:pPr>
              <w:pStyle w:val="TableParagraph"/>
              <w:kinsoku w:val="0"/>
              <w:overflowPunct w:val="0"/>
              <w:spacing w:before="8"/>
              <w:rPr>
                <w:sz w:val="22"/>
                <w:szCs w:val="22"/>
              </w:rPr>
            </w:pPr>
          </w:p>
          <w:p w14:paraId="337BC466" w14:textId="77777777" w:rsidR="00191B21" w:rsidRDefault="00191B21" w:rsidP="00AD4797">
            <w:pPr>
              <w:pStyle w:val="TableParagraph"/>
              <w:kinsoku w:val="0"/>
              <w:overflowPunct w:val="0"/>
              <w:ind w:left="265"/>
              <w:rPr>
                <w:rFonts w:ascii="Arial" w:hAnsi="Arial" w:cs="Arial"/>
                <w:sz w:val="16"/>
                <w:szCs w:val="16"/>
              </w:rPr>
            </w:pPr>
            <w:r>
              <w:rPr>
                <w:rFonts w:ascii="Arial" w:hAnsi="Arial" w:cs="Arial"/>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2E2A4716" w14:textId="77777777" w:rsidR="00191B21" w:rsidRDefault="00191B21" w:rsidP="00670431">
            <w:pPr>
              <w:pStyle w:val="TableParagraph"/>
              <w:kinsoku w:val="0"/>
              <w:overflowPunct w:val="0"/>
              <w:spacing w:before="5"/>
              <w:rPr>
                <w:sz w:val="17"/>
                <w:szCs w:val="17"/>
              </w:rPr>
            </w:pPr>
          </w:p>
          <w:p w14:paraId="26F5DC27" w14:textId="77777777" w:rsidR="00191B21" w:rsidRDefault="00191B21" w:rsidP="00670431">
            <w:pPr>
              <w:pStyle w:val="TableParagraph"/>
              <w:kinsoku w:val="0"/>
              <w:overflowPunct w:val="0"/>
              <w:spacing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418" w:type="dxa"/>
            <w:tcBorders>
              <w:top w:val="single" w:sz="12" w:space="0" w:color="000000"/>
              <w:left w:val="single" w:sz="12" w:space="0" w:color="000000"/>
              <w:bottom w:val="single" w:sz="12" w:space="0" w:color="000000"/>
              <w:right w:val="single" w:sz="12" w:space="0" w:color="000000"/>
            </w:tcBorders>
          </w:tcPr>
          <w:p w14:paraId="185ECF77" w14:textId="77777777" w:rsidR="00AA0DCE" w:rsidRDefault="00AA0DCE" w:rsidP="00AA0DCE">
            <w:pPr>
              <w:pStyle w:val="TableParagraph"/>
              <w:kinsoku w:val="0"/>
              <w:overflowPunct w:val="0"/>
              <w:spacing w:before="5"/>
              <w:jc w:val="center"/>
              <w:rPr>
                <w:sz w:val="17"/>
                <w:szCs w:val="17"/>
              </w:rPr>
            </w:pPr>
          </w:p>
          <w:p w14:paraId="60A6F002" w14:textId="74025409" w:rsidR="00191B21" w:rsidRDefault="00AA0DCE">
            <w:pPr>
              <w:pStyle w:val="TableParagraph"/>
              <w:kinsoku w:val="0"/>
              <w:overflowPunct w:val="0"/>
              <w:spacing w:before="5"/>
              <w:jc w:val="center"/>
              <w:rPr>
                <w:sz w:val="17"/>
                <w:szCs w:val="17"/>
              </w:rPr>
            </w:pPr>
            <w:r w:rsidRPr="00AA0DCE">
              <w:rPr>
                <w:sz w:val="17"/>
                <w:szCs w:val="17"/>
              </w:rPr>
              <w:t>Latency Sensitive Traffic Criterion</w:t>
            </w:r>
            <w:r>
              <w:rPr>
                <w:sz w:val="17"/>
                <w:szCs w:val="17"/>
              </w:rPr>
              <w:t xml:space="preserve"> Control</w:t>
            </w:r>
          </w:p>
        </w:tc>
        <w:tc>
          <w:tcPr>
            <w:tcW w:w="1418" w:type="dxa"/>
            <w:tcBorders>
              <w:top w:val="single" w:sz="12" w:space="0" w:color="000000"/>
              <w:left w:val="single" w:sz="12" w:space="0" w:color="000000"/>
              <w:bottom w:val="single" w:sz="12" w:space="0" w:color="000000"/>
              <w:right w:val="single" w:sz="18" w:space="0" w:color="000000"/>
            </w:tcBorders>
          </w:tcPr>
          <w:p w14:paraId="410B90BF" w14:textId="328CDA7E" w:rsidR="00191B21" w:rsidRDefault="00191B21" w:rsidP="00933555">
            <w:pPr>
              <w:pStyle w:val="TableParagraph"/>
              <w:kinsoku w:val="0"/>
              <w:overflowPunct w:val="0"/>
              <w:spacing w:before="5"/>
              <w:jc w:val="center"/>
              <w:rPr>
                <w:sz w:val="17"/>
                <w:szCs w:val="17"/>
              </w:rPr>
            </w:pPr>
          </w:p>
          <w:p w14:paraId="73BCBB49" w14:textId="2675CC2E" w:rsidR="00191B21" w:rsidRDefault="00191B21" w:rsidP="00933555">
            <w:pPr>
              <w:pStyle w:val="TableParagraph"/>
              <w:kinsoku w:val="0"/>
              <w:overflowPunct w:val="0"/>
              <w:spacing w:line="208" w:lineRule="auto"/>
              <w:ind w:left="52" w:right="115"/>
              <w:jc w:val="center"/>
              <w:rPr>
                <w:rFonts w:ascii="Arial" w:hAnsi="Arial" w:cs="Arial"/>
                <w:sz w:val="16"/>
                <w:szCs w:val="16"/>
              </w:rPr>
            </w:pPr>
            <w:r w:rsidRPr="00A12862">
              <w:rPr>
                <w:rFonts w:ascii="Arial" w:hAnsi="Arial" w:cs="Arial"/>
                <w:spacing w:val="-1"/>
                <w:sz w:val="16"/>
                <w:szCs w:val="16"/>
              </w:rPr>
              <w:t>Threshold for</w:t>
            </w:r>
            <w:r>
              <w:rPr>
                <w:rFonts w:ascii="Arial" w:hAnsi="Arial" w:cs="Arial"/>
                <w:spacing w:val="-1"/>
                <w:sz w:val="16"/>
                <w:szCs w:val="16"/>
              </w:rPr>
              <w:t xml:space="preserve"> </w:t>
            </w:r>
            <w:r w:rsidRPr="00A12862">
              <w:rPr>
                <w:rFonts w:ascii="Arial" w:hAnsi="Arial" w:cs="Arial"/>
                <w:spacing w:val="-1"/>
                <w:sz w:val="16"/>
                <w:szCs w:val="16"/>
              </w:rPr>
              <w:t>Delay Bound</w:t>
            </w:r>
          </w:p>
        </w:tc>
        <w:tc>
          <w:tcPr>
            <w:tcW w:w="1275" w:type="dxa"/>
            <w:tcBorders>
              <w:top w:val="single" w:sz="12" w:space="0" w:color="000000"/>
              <w:left w:val="single" w:sz="18" w:space="0" w:color="000000"/>
              <w:bottom w:val="single" w:sz="12" w:space="0" w:color="000000"/>
              <w:right w:val="single" w:sz="18" w:space="0" w:color="000000"/>
            </w:tcBorders>
          </w:tcPr>
          <w:p w14:paraId="2A69DFCC" w14:textId="72F09965" w:rsidR="00191B21" w:rsidRPr="00A12862" w:rsidRDefault="00191B21" w:rsidP="00AE3214">
            <w:pPr>
              <w:pStyle w:val="TableParagraph"/>
              <w:kinsoku w:val="0"/>
              <w:overflowPunct w:val="0"/>
              <w:spacing w:before="120" w:line="208" w:lineRule="auto"/>
              <w:ind w:left="268" w:right="239" w:hanging="1"/>
              <w:jc w:val="center"/>
              <w:rPr>
                <w:rFonts w:ascii="Arial" w:eastAsia="宋体" w:hAnsi="Arial" w:cs="Arial"/>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p>
        </w:tc>
        <w:tc>
          <w:tcPr>
            <w:tcW w:w="1276" w:type="dxa"/>
            <w:tcBorders>
              <w:top w:val="single" w:sz="12" w:space="0" w:color="000000"/>
              <w:left w:val="single" w:sz="18" w:space="0" w:color="000000"/>
              <w:bottom w:val="single" w:sz="12" w:space="0" w:color="000000"/>
              <w:right w:val="single" w:sz="18" w:space="0" w:color="000000"/>
            </w:tcBorders>
          </w:tcPr>
          <w:p w14:paraId="623DDAE1" w14:textId="06E5B993" w:rsidR="00191B21" w:rsidRPr="00A12862" w:rsidRDefault="00191B21" w:rsidP="00AE3214">
            <w:pPr>
              <w:pStyle w:val="TableParagraph"/>
              <w:kinsoku w:val="0"/>
              <w:overflowPunct w:val="0"/>
              <w:spacing w:before="120" w:line="208" w:lineRule="auto"/>
              <w:ind w:left="268" w:right="239" w:hanging="1"/>
              <w:jc w:val="center"/>
              <w:rPr>
                <w:rFonts w:ascii="Arial" w:hAnsi="Arial" w:cs="Arial"/>
                <w:spacing w:val="-1"/>
                <w:sz w:val="16"/>
                <w:szCs w:val="16"/>
              </w:rPr>
            </w:pPr>
            <w:r w:rsidRPr="00A12862">
              <w:rPr>
                <w:rFonts w:ascii="Arial" w:hAnsi="Arial" w:cs="Arial"/>
                <w:spacing w:val="-1"/>
                <w:sz w:val="16"/>
                <w:szCs w:val="16"/>
              </w:rPr>
              <w:t>Threshold for Maximum Jitter</w:t>
            </w:r>
          </w:p>
        </w:tc>
      </w:tr>
    </w:tbl>
    <w:p w14:paraId="436E3405" w14:textId="13399BE0" w:rsidR="00A12862" w:rsidRDefault="00A12862" w:rsidP="00CB0B94">
      <w:pPr>
        <w:pStyle w:val="af9"/>
        <w:tabs>
          <w:tab w:val="left" w:pos="2084"/>
          <w:tab w:val="left" w:pos="3244"/>
          <w:tab w:val="left" w:pos="5572"/>
          <w:tab w:val="left" w:pos="7615"/>
        </w:tabs>
        <w:kinsoku w:val="0"/>
        <w:overflowPunct w:val="0"/>
        <w:spacing w:before="98"/>
        <w:rPr>
          <w:rFonts w:ascii="Arial" w:hAnsi="Arial" w:cs="Arial"/>
          <w:sz w:val="16"/>
          <w:szCs w:val="16"/>
        </w:rPr>
      </w:pPr>
      <w:r>
        <w:rPr>
          <w:rFonts w:ascii="Arial" w:hAnsi="Arial" w:cs="Arial"/>
          <w:sz w:val="16"/>
          <w:szCs w:val="16"/>
        </w:rPr>
        <w:t>Octets:</w:t>
      </w:r>
      <w:r w:rsidR="00CB0B94">
        <w:rPr>
          <w:rFonts w:ascii="Arial" w:hAnsi="Arial" w:cs="Arial"/>
          <w:sz w:val="16"/>
          <w:szCs w:val="16"/>
        </w:rPr>
        <w:t xml:space="preserve">             </w:t>
      </w:r>
      <w:r>
        <w:rPr>
          <w:rFonts w:ascii="Arial" w:hAnsi="Arial" w:cs="Arial"/>
          <w:sz w:val="16"/>
          <w:szCs w:val="16"/>
        </w:rPr>
        <w:t>1</w:t>
      </w:r>
      <w:r>
        <w:rPr>
          <w:rFonts w:ascii="Arial" w:hAnsi="Arial" w:cs="Arial"/>
          <w:sz w:val="16"/>
          <w:szCs w:val="16"/>
        </w:rPr>
        <w:tab/>
        <w:t>1</w:t>
      </w:r>
      <w:r w:rsidR="00BC6783">
        <w:rPr>
          <w:rFonts w:ascii="Arial" w:hAnsi="Arial" w:cs="Arial"/>
          <w:sz w:val="16"/>
          <w:szCs w:val="16"/>
        </w:rPr>
        <w:t xml:space="preserve">                          </w:t>
      </w:r>
      <w:r>
        <w:rPr>
          <w:rFonts w:ascii="Arial" w:hAnsi="Arial" w:cs="Arial"/>
          <w:sz w:val="16"/>
          <w:szCs w:val="16"/>
        </w:rPr>
        <w:t>1</w:t>
      </w:r>
      <w:r w:rsidR="00CB0B94">
        <w:rPr>
          <w:rFonts w:ascii="Arial" w:hAnsi="Arial" w:cs="Arial"/>
          <w:sz w:val="16"/>
          <w:szCs w:val="16"/>
        </w:rPr>
        <w:t xml:space="preserve">                                1                           </w:t>
      </w:r>
      <w:r w:rsidR="00BC6783">
        <w:rPr>
          <w:rFonts w:ascii="Arial" w:hAnsi="Arial" w:cs="Arial"/>
          <w:sz w:val="16"/>
          <w:szCs w:val="16"/>
        </w:rPr>
        <w:t xml:space="preserve">4                         </w:t>
      </w:r>
      <w:r w:rsidR="00191B21">
        <w:rPr>
          <w:rFonts w:ascii="Arial" w:hAnsi="Arial" w:cs="Arial"/>
          <w:sz w:val="16"/>
          <w:szCs w:val="16"/>
        </w:rPr>
        <w:t xml:space="preserve">0 or </w:t>
      </w:r>
      <w:r w:rsidR="00BC6783">
        <w:rPr>
          <w:rFonts w:ascii="Arial" w:hAnsi="Arial" w:cs="Arial"/>
          <w:sz w:val="16"/>
          <w:szCs w:val="16"/>
        </w:rPr>
        <w:t xml:space="preserve">1                   </w:t>
      </w:r>
      <w:r w:rsidR="006C03B1">
        <w:rPr>
          <w:rFonts w:ascii="Arial" w:hAnsi="Arial" w:cs="Arial"/>
          <w:sz w:val="16"/>
          <w:szCs w:val="16"/>
        </w:rPr>
        <w:t xml:space="preserve"> </w:t>
      </w:r>
      <w:r w:rsidR="001B73F4">
        <w:rPr>
          <w:rFonts w:ascii="Arial" w:hAnsi="Arial" w:cs="Arial"/>
          <w:sz w:val="16"/>
          <w:szCs w:val="16"/>
        </w:rPr>
        <w:t>0 or</w:t>
      </w:r>
      <w:r w:rsidR="00BC6783">
        <w:rPr>
          <w:rFonts w:ascii="Arial" w:hAnsi="Arial" w:cs="Arial"/>
          <w:sz w:val="16"/>
          <w:szCs w:val="16"/>
        </w:rPr>
        <w:t xml:space="preserve"> 4</w:t>
      </w:r>
    </w:p>
    <w:p w14:paraId="0C083B1B" w14:textId="0F927145" w:rsidR="00A12862" w:rsidRDefault="00A12862" w:rsidP="00A12862">
      <w:pPr>
        <w:pStyle w:val="af9"/>
        <w:kinsoku w:val="0"/>
        <w:overflowPunct w:val="0"/>
        <w:jc w:val="center"/>
        <w:rPr>
          <w:rFonts w:ascii="Arial" w:hAnsi="Arial" w:cs="Arial"/>
          <w:b/>
          <w:bCs/>
          <w:color w:val="208A20"/>
        </w:rPr>
      </w:pPr>
      <w:bookmarkStart w:id="0" w:name="_bookmark90"/>
      <w:bookmarkEnd w:id="0"/>
      <w:r>
        <w:rPr>
          <w:rFonts w:ascii="Arial" w:hAnsi="Arial" w:cs="Arial"/>
          <w:b/>
          <w:bCs/>
        </w:rPr>
        <w:t>Figure</w:t>
      </w:r>
      <w:r>
        <w:rPr>
          <w:rFonts w:ascii="Arial" w:hAnsi="Arial" w:cs="Arial"/>
          <w:b/>
          <w:bCs/>
          <w:spacing w:val="-12"/>
        </w:rPr>
        <w:t xml:space="preserve"> </w:t>
      </w:r>
      <w:r>
        <w:rPr>
          <w:rFonts w:ascii="Arial" w:hAnsi="Arial" w:cs="Arial"/>
          <w:b/>
          <w:bCs/>
        </w:rPr>
        <w:t>9-xxx—</w:t>
      </w:r>
      <w:r w:rsidRPr="00A12862">
        <w:rPr>
          <w:rFonts w:ascii="Arial" w:hAnsi="Arial" w:cs="Arial"/>
          <w:b/>
          <w:bCs/>
        </w:rPr>
        <w:t xml:space="preserve">Latency Sensitive Traffic Criterion element </w:t>
      </w:r>
      <w:r>
        <w:rPr>
          <w:rFonts w:ascii="Arial" w:hAnsi="Arial" w:cs="Arial"/>
          <w:b/>
          <w:bCs/>
        </w:rPr>
        <w:t>format</w:t>
      </w:r>
    </w:p>
    <w:p w14:paraId="57A7A2EB" w14:textId="77777777" w:rsidR="00A12862" w:rsidRDefault="00A12862" w:rsidP="001B73F4">
      <w:pPr>
        <w:pStyle w:val="T"/>
      </w:pPr>
      <w:r>
        <w:t>The</w:t>
      </w:r>
      <w:r w:rsidRPr="001B73F4">
        <w:t xml:space="preserve"> </w:t>
      </w:r>
      <w:r>
        <w:t>Element</w:t>
      </w:r>
      <w:r w:rsidRPr="001B73F4">
        <w:t xml:space="preserve"> </w:t>
      </w:r>
      <w:r>
        <w:t>ID,</w:t>
      </w:r>
      <w:r w:rsidRPr="001B73F4">
        <w:t xml:space="preserve"> </w:t>
      </w:r>
      <w:r>
        <w:t>Length,</w:t>
      </w:r>
      <w:r w:rsidRPr="001B73F4">
        <w:t xml:space="preserve"> </w:t>
      </w:r>
      <w:r>
        <w:t>and</w:t>
      </w:r>
      <w:r w:rsidRPr="001B73F4">
        <w:t xml:space="preserve"> </w:t>
      </w:r>
      <w:r>
        <w:t>Element</w:t>
      </w:r>
      <w:r w:rsidRPr="001B73F4">
        <w:t xml:space="preserve"> </w:t>
      </w:r>
      <w:r>
        <w:t>ID</w:t>
      </w:r>
      <w:r w:rsidRPr="001B73F4">
        <w:t xml:space="preserve"> </w:t>
      </w:r>
      <w:r>
        <w:t>Extension</w:t>
      </w:r>
      <w:r w:rsidRPr="001B73F4">
        <w:t xml:space="preserve"> </w:t>
      </w:r>
      <w:r>
        <w:t>fields</w:t>
      </w:r>
      <w:r w:rsidRPr="001B73F4">
        <w:t xml:space="preserve"> </w:t>
      </w:r>
      <w:r>
        <w:t>are</w:t>
      </w:r>
      <w:r w:rsidRPr="001B73F4">
        <w:t xml:space="preserve"> </w:t>
      </w:r>
      <w:r>
        <w:t>defined</w:t>
      </w:r>
      <w:r w:rsidRPr="001B73F4">
        <w:t xml:space="preserve"> </w:t>
      </w:r>
      <w:r>
        <w:t>in</w:t>
      </w:r>
      <w:r w:rsidRPr="001B73F4">
        <w:t xml:space="preserve"> </w:t>
      </w:r>
      <w:hyperlink w:anchor="bookmark71" w:history="1">
        <w:r>
          <w:t>9.4.2.1</w:t>
        </w:r>
        <w:r w:rsidRPr="001B73F4">
          <w:t xml:space="preserve"> </w:t>
        </w:r>
        <w:r>
          <w:t>(General)</w:t>
        </w:r>
      </w:hyperlink>
      <w:r>
        <w:t>.</w:t>
      </w:r>
    </w:p>
    <w:p w14:paraId="71CB524D" w14:textId="06D026D0" w:rsidR="00AA0DCE" w:rsidRDefault="0090301A" w:rsidP="001B73F4">
      <w:pPr>
        <w:pStyle w:val="T"/>
      </w:pPr>
      <w:r>
        <w:t>The</w:t>
      </w:r>
      <w:r w:rsidRPr="0090301A">
        <w:t xml:space="preserve"> </w:t>
      </w:r>
      <w:r>
        <w:t>format</w:t>
      </w:r>
      <w:r w:rsidRPr="0090301A">
        <w:t xml:space="preserve"> </w:t>
      </w:r>
      <w:r>
        <w:t xml:space="preserve">of the </w:t>
      </w:r>
      <w:r w:rsidRPr="0090301A">
        <w:t xml:space="preserve">Latency Sensitive Traffic Criterion </w:t>
      </w:r>
      <w:r>
        <w:t>Control</w:t>
      </w:r>
      <w:r w:rsidRPr="0090301A">
        <w:t xml:space="preserve"> </w:t>
      </w:r>
      <w:r>
        <w:t>field</w:t>
      </w:r>
      <w:r w:rsidRPr="0090301A">
        <w:t xml:space="preserve"> </w:t>
      </w:r>
      <w:r>
        <w:t>is</w:t>
      </w:r>
      <w:r w:rsidRPr="0090301A">
        <w:t xml:space="preserve"> </w:t>
      </w:r>
      <w:r>
        <w:t xml:space="preserve">defined in </w:t>
      </w:r>
      <w:hyperlink w:anchor="bookmark131" w:history="1">
        <w:r>
          <w:t>Figure</w:t>
        </w:r>
        <w:r w:rsidRPr="0090301A">
          <w:t xml:space="preserve"> </w:t>
        </w:r>
        <w:r>
          <w:t>9-xxx (</w:t>
        </w:r>
        <w:r w:rsidRPr="0090301A">
          <w:t>Latency Sensitive Traffic Criterion Control field format</w:t>
        </w:r>
        <w:r>
          <w:t xml:space="preserve"> </w:t>
        </w:r>
      </w:hyperlink>
      <w:hyperlink w:anchor="bookmark131" w:history="1">
        <w:r>
          <w:t>)</w:t>
        </w:r>
      </w:hyperlink>
      <w:r>
        <w:t>.</w:t>
      </w:r>
    </w:p>
    <w:p w14:paraId="0F93AFD3" w14:textId="77777777" w:rsidR="00AA0DCE" w:rsidRPr="0090301A" w:rsidRDefault="00AA0DCE" w:rsidP="00AA0DCE">
      <w:pPr>
        <w:pStyle w:val="af9"/>
        <w:kinsoku w:val="0"/>
        <w:overflowPunct w:val="0"/>
        <w:spacing w:before="1"/>
        <w:rPr>
          <w:sz w:val="24"/>
          <w:szCs w:val="24"/>
          <w:lang w:val="en-US"/>
        </w:rPr>
      </w:pPr>
    </w:p>
    <w:p w14:paraId="2FCCD9AA" w14:textId="5165ACC3" w:rsidR="00AA0DCE" w:rsidRDefault="00AA0DCE" w:rsidP="00517FBC">
      <w:pPr>
        <w:pStyle w:val="af9"/>
        <w:tabs>
          <w:tab w:val="left" w:pos="5000"/>
          <w:tab w:val="left" w:pos="5450"/>
          <w:tab w:val="left" w:pos="5909"/>
          <w:tab w:val="left" w:pos="6985"/>
        </w:tabs>
        <w:kinsoku w:val="0"/>
        <w:overflowPunct w:val="0"/>
        <w:spacing w:before="95"/>
        <w:ind w:left="2609"/>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03A01B19" wp14:editId="31A7C193">
                <wp:simplePos x="0" y="0"/>
                <wp:positionH relativeFrom="page">
                  <wp:posOffset>1280160</wp:posOffset>
                </wp:positionH>
                <wp:positionV relativeFrom="paragraph">
                  <wp:posOffset>159385</wp:posOffset>
                </wp:positionV>
                <wp:extent cx="5059680" cy="480060"/>
                <wp:effectExtent l="0" t="0" r="7620"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00" w:type="dxa"/>
                              <w:tblInd w:w="752" w:type="dxa"/>
                              <w:tblLayout w:type="fixed"/>
                              <w:tblCellMar>
                                <w:left w:w="0" w:type="dxa"/>
                                <w:right w:w="0" w:type="dxa"/>
                              </w:tblCellMar>
                              <w:tblLook w:val="0000" w:firstRow="0" w:lastRow="0" w:firstColumn="0" w:lastColumn="0" w:noHBand="0" w:noVBand="0"/>
                            </w:tblPr>
                            <w:tblGrid>
                              <w:gridCol w:w="2522"/>
                              <w:gridCol w:w="2268"/>
                              <w:gridCol w:w="2410"/>
                            </w:tblGrid>
                            <w:tr w:rsidR="00AA0DCE" w14:paraId="41CC6FCC" w14:textId="77777777" w:rsidTr="00AA0DCE">
                              <w:trPr>
                                <w:trHeight w:val="537"/>
                              </w:trPr>
                              <w:tc>
                                <w:tcPr>
                                  <w:tcW w:w="2522" w:type="dxa"/>
                                  <w:tcBorders>
                                    <w:top w:val="single" w:sz="12" w:space="0" w:color="000000"/>
                                    <w:left w:val="single" w:sz="12" w:space="0" w:color="000000"/>
                                    <w:bottom w:val="single" w:sz="12" w:space="0" w:color="000000"/>
                                    <w:right w:val="single" w:sz="12" w:space="0" w:color="000000"/>
                                  </w:tcBorders>
                                </w:tcPr>
                                <w:p w14:paraId="303C4D3F" w14:textId="1AD0CD9F" w:rsidR="00AA0DCE" w:rsidRDefault="00AA0DCE">
                                  <w:pPr>
                                    <w:pStyle w:val="TableParagraph"/>
                                    <w:kinsoku w:val="0"/>
                                    <w:overflowPunct w:val="0"/>
                                    <w:spacing w:before="181"/>
                                    <w:ind w:left="232"/>
                                    <w:rPr>
                                      <w:rFonts w:ascii="Arial" w:hAnsi="Arial" w:cs="Arial"/>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2268" w:type="dxa"/>
                                  <w:tcBorders>
                                    <w:top w:val="single" w:sz="12" w:space="0" w:color="000000"/>
                                    <w:left w:val="single" w:sz="12" w:space="0" w:color="000000"/>
                                    <w:bottom w:val="single" w:sz="12" w:space="0" w:color="000000"/>
                                    <w:right w:val="single" w:sz="12" w:space="0" w:color="000000"/>
                                  </w:tcBorders>
                                </w:tcPr>
                                <w:p w14:paraId="146C4873" w14:textId="44AF73B3" w:rsidR="00AA0DCE" w:rsidRPr="00AA0DCE" w:rsidRDefault="00AA0DCE" w:rsidP="00AA0DCE">
                                  <w:pPr>
                                    <w:pStyle w:val="TableParagraph"/>
                                    <w:kinsoku w:val="0"/>
                                    <w:overflowPunct w:val="0"/>
                                    <w:spacing w:before="181"/>
                                    <w:ind w:left="232"/>
                                    <w:rPr>
                                      <w:rFonts w:ascii="Arial" w:hAnsi="Arial" w:cs="Arial"/>
                                      <w:spacing w:val="-1"/>
                                      <w:sz w:val="16"/>
                                      <w:szCs w:val="16"/>
                                    </w:rPr>
                                  </w:pPr>
                                  <w:r w:rsidRPr="00A12862">
                                    <w:rPr>
                                      <w:rFonts w:ascii="Arial" w:hAnsi="Arial" w:cs="Arial"/>
                                      <w:spacing w:val="-1"/>
                                      <w:sz w:val="16"/>
                                      <w:szCs w:val="16"/>
                                    </w:rPr>
                                    <w:t>Threshold for Maximum Jitter</w:t>
                                  </w:r>
                                  <w:r>
                                    <w:rPr>
                                      <w:rFonts w:ascii="Arial" w:hAnsi="Arial" w:cs="Arial"/>
                                      <w:spacing w:val="-1"/>
                                      <w:sz w:val="16"/>
                                      <w:szCs w:val="16"/>
                                    </w:rPr>
                                    <w:t xml:space="preserve"> </w:t>
                                  </w:r>
                                  <w:r w:rsidRPr="00AA0DCE">
                                    <w:rPr>
                                      <w:rFonts w:ascii="Arial" w:hAnsi="Arial" w:cs="Arial"/>
                                      <w:spacing w:val="-1"/>
                                      <w:sz w:val="16"/>
                                      <w:szCs w:val="16"/>
                                    </w:rPr>
                                    <w:t>Presence Indicator</w:t>
                                  </w:r>
                                </w:p>
                              </w:tc>
                              <w:tc>
                                <w:tcPr>
                                  <w:tcW w:w="2410"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1B19" id="_x0000_t202" coordsize="21600,21600" o:spt="202" path="m,l,21600r21600,l21600,xe">
                <v:stroke joinstyle="miter"/>
                <v:path gradientshapeok="t" o:connecttype="rect"/>
              </v:shapetype>
              <v:shape id="文本框 1" o:spid="_x0000_s1026" type="#_x0000_t202" style="position:absolute;left:0;text-align:left;margin-left:100.8pt;margin-top:12.55pt;width:398.4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" o:allowincell="f" filled="f" stroked="f">
                <v:textbox inset="0,0,0,0">
                  <w:txbxContent>
                    <w:tbl>
                      <w:tblPr>
                        <w:tblW w:w="7200" w:type="dxa"/>
                        <w:tblInd w:w="752" w:type="dxa"/>
                        <w:tblLayout w:type="fixed"/>
                        <w:tblCellMar>
                          <w:left w:w="0" w:type="dxa"/>
                          <w:right w:w="0" w:type="dxa"/>
                        </w:tblCellMar>
                        <w:tblLook w:val="0000" w:firstRow="0" w:lastRow="0" w:firstColumn="0" w:lastColumn="0" w:noHBand="0" w:noVBand="0"/>
                      </w:tblPr>
                      <w:tblGrid>
                        <w:gridCol w:w="2522"/>
                        <w:gridCol w:w="2268"/>
                        <w:gridCol w:w="2410"/>
                      </w:tblGrid>
                      <w:tr w:rsidR="00AA0DCE" w14:paraId="41CC6FCC" w14:textId="77777777" w:rsidTr="00AA0DCE">
                        <w:trPr>
                          <w:trHeight w:val="537"/>
                        </w:trPr>
                        <w:tc>
                          <w:tcPr>
                            <w:tcW w:w="2522" w:type="dxa"/>
                            <w:tcBorders>
                              <w:top w:val="single" w:sz="12" w:space="0" w:color="000000"/>
                              <w:left w:val="single" w:sz="12" w:space="0" w:color="000000"/>
                              <w:bottom w:val="single" w:sz="12" w:space="0" w:color="000000"/>
                              <w:right w:val="single" w:sz="12" w:space="0" w:color="000000"/>
                            </w:tcBorders>
                          </w:tcPr>
                          <w:p w14:paraId="303C4D3F" w14:textId="1AD0CD9F" w:rsidR="00AA0DCE" w:rsidRDefault="00AA0DCE">
                            <w:pPr>
                              <w:pStyle w:val="TableParagraph"/>
                              <w:kinsoku w:val="0"/>
                              <w:overflowPunct w:val="0"/>
                              <w:spacing w:before="181"/>
                              <w:ind w:left="232"/>
                              <w:rPr>
                                <w:rFonts w:ascii="Arial" w:hAnsi="Arial" w:cs="Arial"/>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2268" w:type="dxa"/>
                            <w:tcBorders>
                              <w:top w:val="single" w:sz="12" w:space="0" w:color="000000"/>
                              <w:left w:val="single" w:sz="12" w:space="0" w:color="000000"/>
                              <w:bottom w:val="single" w:sz="12" w:space="0" w:color="000000"/>
                              <w:right w:val="single" w:sz="12" w:space="0" w:color="000000"/>
                            </w:tcBorders>
                          </w:tcPr>
                          <w:p w14:paraId="146C4873" w14:textId="44AF73B3" w:rsidR="00AA0DCE" w:rsidRPr="00AA0DCE" w:rsidRDefault="00AA0DCE" w:rsidP="00AA0DCE">
                            <w:pPr>
                              <w:pStyle w:val="TableParagraph"/>
                              <w:kinsoku w:val="0"/>
                              <w:overflowPunct w:val="0"/>
                              <w:spacing w:before="181"/>
                              <w:ind w:left="232"/>
                              <w:rPr>
                                <w:rFonts w:ascii="Arial" w:hAnsi="Arial" w:cs="Arial"/>
                                <w:spacing w:val="-1"/>
                                <w:sz w:val="16"/>
                                <w:szCs w:val="16"/>
                              </w:rPr>
                            </w:pPr>
                            <w:r w:rsidRPr="00A12862">
                              <w:rPr>
                                <w:rFonts w:ascii="Arial" w:hAnsi="Arial" w:cs="Arial"/>
                                <w:spacing w:val="-1"/>
                                <w:sz w:val="16"/>
                                <w:szCs w:val="16"/>
                              </w:rPr>
                              <w:t>Threshold for Maximum Jitter</w:t>
                            </w:r>
                            <w:r>
                              <w:rPr>
                                <w:rFonts w:ascii="Arial" w:hAnsi="Arial" w:cs="Arial"/>
                                <w:spacing w:val="-1"/>
                                <w:sz w:val="16"/>
                                <w:szCs w:val="16"/>
                              </w:rPr>
                              <w:t xml:space="preserve"> </w:t>
                            </w:r>
                            <w:r w:rsidRPr="00AA0DCE">
                              <w:rPr>
                                <w:rFonts w:ascii="Arial" w:hAnsi="Arial" w:cs="Arial"/>
                                <w:spacing w:val="-1"/>
                                <w:sz w:val="16"/>
                                <w:szCs w:val="16"/>
                              </w:rPr>
                              <w:t>Presence Indicator</w:t>
                            </w:r>
                          </w:p>
                        </w:tc>
                        <w:tc>
                          <w:tcPr>
                            <w:tcW w:w="2410"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r>
      <w:r w:rsidR="00517FBC">
        <w:rPr>
          <w:rFonts w:ascii="Arial" w:hAnsi="Arial" w:cs="Arial"/>
          <w:sz w:val="16"/>
          <w:szCs w:val="16"/>
        </w:rPr>
        <w:t xml:space="preserve">                       </w:t>
      </w:r>
      <w:r>
        <w:rPr>
          <w:rFonts w:ascii="Arial" w:hAnsi="Arial" w:cs="Arial"/>
          <w:sz w:val="16"/>
          <w:szCs w:val="16"/>
        </w:rPr>
        <w:t>B2</w:t>
      </w:r>
      <w:r w:rsidR="00517FBC">
        <w:rPr>
          <w:rFonts w:ascii="Arial" w:hAnsi="Arial" w:cs="Arial"/>
          <w:sz w:val="16"/>
          <w:szCs w:val="16"/>
        </w:rPr>
        <w:t xml:space="preserve">                                      B7</w:t>
      </w:r>
    </w:p>
    <w:p w14:paraId="60C72872" w14:textId="50177380" w:rsidR="00AA0DCE" w:rsidRDefault="00AA0DCE" w:rsidP="00517FBC">
      <w:pPr>
        <w:pStyle w:val="af9"/>
        <w:tabs>
          <w:tab w:val="left" w:pos="2752"/>
          <w:tab w:val="left" w:pos="5012"/>
          <w:tab w:val="left" w:pos="7208"/>
        </w:tabs>
        <w:kinsoku w:val="0"/>
        <w:overflowPunct w:val="0"/>
        <w:spacing w:before="815"/>
        <w:ind w:firstLineChars="650" w:firstLine="1040"/>
        <w:rPr>
          <w:rFonts w:ascii="Arial" w:hAnsi="Arial" w:cs="Arial"/>
          <w:sz w:val="16"/>
          <w:szCs w:val="16"/>
        </w:rPr>
      </w:pPr>
      <w:r>
        <w:rPr>
          <w:rFonts w:ascii="Arial" w:hAnsi="Arial" w:cs="Arial"/>
          <w:sz w:val="16"/>
          <w:szCs w:val="16"/>
        </w:rPr>
        <w:t>Bits:</w:t>
      </w:r>
      <w:r>
        <w:rPr>
          <w:rFonts w:ascii="Arial" w:hAnsi="Arial" w:cs="Arial"/>
          <w:sz w:val="16"/>
          <w:szCs w:val="16"/>
        </w:rPr>
        <w:tab/>
      </w:r>
      <w:r w:rsidR="00517FBC">
        <w:rPr>
          <w:rFonts w:ascii="Arial" w:hAnsi="Arial" w:cs="Arial"/>
          <w:sz w:val="16"/>
          <w:szCs w:val="16"/>
        </w:rPr>
        <w:t>1</w:t>
      </w:r>
      <w:r>
        <w:rPr>
          <w:rFonts w:ascii="Arial" w:hAnsi="Arial" w:cs="Arial"/>
          <w:sz w:val="16"/>
          <w:szCs w:val="16"/>
        </w:rPr>
        <w:tab/>
        <w:t>1</w:t>
      </w:r>
      <w:r>
        <w:rPr>
          <w:rFonts w:ascii="Arial" w:hAnsi="Arial" w:cs="Arial"/>
          <w:sz w:val="16"/>
          <w:szCs w:val="16"/>
        </w:rPr>
        <w:tab/>
      </w:r>
      <w:r w:rsidR="00517FBC">
        <w:rPr>
          <w:rFonts w:ascii="Arial" w:hAnsi="Arial" w:cs="Arial"/>
          <w:sz w:val="16"/>
          <w:szCs w:val="16"/>
        </w:rPr>
        <w:t>6</w:t>
      </w:r>
    </w:p>
    <w:p w14:paraId="53678783" w14:textId="60405A11" w:rsidR="00AA0DCE" w:rsidRDefault="00AA0DCE" w:rsidP="00AA0DCE">
      <w:pPr>
        <w:pStyle w:val="af9"/>
        <w:kinsoku w:val="0"/>
        <w:overflowPunct w:val="0"/>
        <w:spacing w:before="186"/>
        <w:ind w:right="137"/>
        <w:jc w:val="center"/>
        <w:rPr>
          <w:rFonts w:ascii="Arial" w:hAnsi="Arial" w:cs="Arial"/>
          <w:b/>
          <w:bCs/>
        </w:rPr>
      </w:pPr>
      <w:bookmarkStart w:id="1" w:name="_bookmark131"/>
      <w:bookmarkEnd w:id="1"/>
      <w:r>
        <w:rPr>
          <w:rFonts w:ascii="Arial" w:hAnsi="Arial" w:cs="Arial"/>
          <w:b/>
          <w:bCs/>
        </w:rPr>
        <w:t>Figure</w:t>
      </w:r>
      <w:r>
        <w:rPr>
          <w:rFonts w:ascii="Arial" w:hAnsi="Arial" w:cs="Arial"/>
          <w:b/>
          <w:bCs/>
          <w:spacing w:val="-7"/>
        </w:rPr>
        <w:t xml:space="preserve"> </w:t>
      </w:r>
      <w:r>
        <w:rPr>
          <w:rFonts w:ascii="Arial" w:hAnsi="Arial" w:cs="Arial"/>
          <w:b/>
          <w:bCs/>
        </w:rPr>
        <w:t>9-xxx—</w:t>
      </w:r>
      <w:r w:rsidR="00A5281E" w:rsidRPr="00A5281E">
        <w:rPr>
          <w:rFonts w:ascii="Arial" w:hAnsi="Arial" w:cs="Arial"/>
          <w:b/>
          <w:bCs/>
        </w:rPr>
        <w:t>Latency Sensitive Traffic Criterion Control</w:t>
      </w:r>
      <w:r w:rsidR="00A5281E">
        <w:rPr>
          <w:rFonts w:ascii="Arial" w:hAnsi="Arial" w:cs="Arial"/>
          <w:b/>
          <w:bCs/>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02261BD9" w14:textId="179A8987" w:rsidR="00E40866" w:rsidRPr="00E40866" w:rsidRDefault="00E40866" w:rsidP="001B73F4">
      <w:pPr>
        <w:pStyle w:val="T"/>
      </w:pPr>
      <w:r w:rsidRPr="00E40866">
        <w:t xml:space="preserve">The Threshold for MSDU Delivery Ratio Presence Indicator subfield indicates whether the Threshold for MSDU Delivery Ratio field is present in the Latency Sensitive Traffic Criterion element. A value of 1 in </w:t>
      </w:r>
      <w:r>
        <w:t>t</w:t>
      </w:r>
      <w:r w:rsidRPr="00E40866">
        <w:t>he Threshold for MSDU Delivery Ratio Presence Indicator subfield indicates that the Threshold for MSDU Delivery Ratio field is present in the Latency Sensitive Traffic Criterion element. Otherwise, the Threshold for MSDU Delivery Ratio field is not present in the Latency Sensitive Traffic Criterion element.</w:t>
      </w:r>
    </w:p>
    <w:p w14:paraId="66F2B31B" w14:textId="0A711299" w:rsidR="00AA0DCE" w:rsidRPr="00E2379F" w:rsidRDefault="00E2379F" w:rsidP="001B73F4">
      <w:pPr>
        <w:pStyle w:val="T"/>
      </w:pPr>
      <w:r w:rsidRPr="00E40866">
        <w:t xml:space="preserve">The </w:t>
      </w:r>
      <w:r w:rsidR="00290235" w:rsidRPr="00290235">
        <w:t>Threshold for Maximum Jitter Presence Indicator</w:t>
      </w:r>
      <w:r w:rsidRPr="00E40866">
        <w:t xml:space="preserve"> subfield indicates whether the </w:t>
      </w:r>
      <w:r w:rsidR="00290235" w:rsidRPr="00290235">
        <w:t>Threshold for Maximum Jitter</w:t>
      </w:r>
      <w:r w:rsidRPr="00E40866">
        <w:t xml:space="preserve"> field is present in the Latency Sensitive Traffic Criterion element. A value of 1 in </w:t>
      </w:r>
      <w:r>
        <w:t>t</w:t>
      </w:r>
      <w:r w:rsidRPr="00E40866">
        <w:t xml:space="preserve">he </w:t>
      </w:r>
      <w:r w:rsidR="00290235" w:rsidRPr="00290235">
        <w:t>Threshold for Maximum Jitter Presence Indicator</w:t>
      </w:r>
      <w:r w:rsidRPr="00E40866">
        <w:t xml:space="preserve"> subfield indicates that the </w:t>
      </w:r>
      <w:r w:rsidR="00290235" w:rsidRPr="00290235">
        <w:t>Threshold for Maximum Jitter</w:t>
      </w:r>
      <w:r w:rsidRPr="00E40866">
        <w:t xml:space="preserve"> field is present in the Latency Sensitive Traffic Criterion element. Otherwise, the </w:t>
      </w:r>
      <w:r w:rsidR="00290235" w:rsidRPr="00290235">
        <w:t>Threshold for Maximum Jitter</w:t>
      </w:r>
      <w:r w:rsidRPr="00E40866">
        <w:t xml:space="preserve"> field is not present in the Latency Sensitive Traffic Criterion element.</w:t>
      </w:r>
    </w:p>
    <w:p w14:paraId="70C8851D" w14:textId="6E827DEC" w:rsidR="00A12862" w:rsidRPr="001B73F4" w:rsidRDefault="001B73F4" w:rsidP="001B73F4">
      <w:pPr>
        <w:pStyle w:val="T"/>
      </w:pPr>
      <w:r w:rsidRPr="001B73F4">
        <w:t xml:space="preserve">The Threshold for Delay Bound field is 4 octets long and contains an unsigned integer that specifies the threshold for </w:t>
      </w:r>
      <w:r w:rsidR="00191B21">
        <w:t>d</w:t>
      </w:r>
      <w:r w:rsidRPr="001B73F4">
        <w:t xml:space="preserve">elay </w:t>
      </w:r>
      <w:r w:rsidR="00191B21">
        <w:t>b</w:t>
      </w:r>
      <w:r w:rsidRPr="001B73F4">
        <w:t xml:space="preserve">ound. The meaning of </w:t>
      </w:r>
      <w:r w:rsidR="006C1EE3">
        <w:t>d</w:t>
      </w:r>
      <w:r w:rsidRPr="001B73F4">
        <w:t xml:space="preserve">elay </w:t>
      </w:r>
      <w:r w:rsidR="006C1EE3">
        <w:t>b</w:t>
      </w:r>
      <w:r w:rsidRPr="001B73F4">
        <w:t xml:space="preserve">ound is the same as the definition of </w:t>
      </w:r>
      <w:r w:rsidR="006C1EE3">
        <w:t xml:space="preserve">the </w:t>
      </w:r>
      <w:r w:rsidRPr="001B73F4">
        <w:t>Delay Bound field</w:t>
      </w:r>
      <w:r>
        <w:t xml:space="preserve"> specified</w:t>
      </w:r>
      <w:r w:rsidRPr="001B73F4">
        <w:t xml:space="preserve"> in the TSPEC element.</w:t>
      </w:r>
    </w:p>
    <w:p w14:paraId="4EA6933D" w14:textId="17338D2C" w:rsidR="001B73F4" w:rsidRDefault="001B73F4" w:rsidP="001B73F4">
      <w:pPr>
        <w:pStyle w:val="T"/>
      </w:pPr>
      <w:r w:rsidRPr="001B73F4">
        <w:t xml:space="preserve">The Threshold for </w:t>
      </w:r>
      <w:r w:rsidR="00B7587E">
        <w:t>MSDU</w:t>
      </w:r>
      <w:r w:rsidRPr="001B73F4">
        <w:t xml:space="preserve"> Delivery Ratio field indicates the threshold for the percentage of packets that are expected to be delivered within the threshold for delay bound specified in the Threshold for Delay Bound field and its encoding is defined in Table 9-xxx.</w:t>
      </w:r>
      <w:r w:rsidR="000B743B">
        <w:t xml:space="preserve"> </w:t>
      </w:r>
      <w:r w:rsidR="000B743B" w:rsidRPr="001B73F4">
        <w:t xml:space="preserve">The Threshold for </w:t>
      </w:r>
      <w:r w:rsidR="000B743B">
        <w:t>MSDU</w:t>
      </w:r>
      <w:r w:rsidR="000B743B" w:rsidRPr="001B73F4">
        <w:t xml:space="preserve"> Delivery Ratio field</w:t>
      </w:r>
      <w:r w:rsidR="000B743B">
        <w:t xml:space="preserve"> is optional.</w:t>
      </w:r>
    </w:p>
    <w:p w14:paraId="2F7277D3" w14:textId="77777777" w:rsidR="006C03B1" w:rsidRDefault="006C03B1" w:rsidP="001B73F4">
      <w:pPr>
        <w:pStyle w:val="T"/>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14"/>
        <w:gridCol w:w="4282"/>
      </w:tblGrid>
      <w:tr w:rsidR="001B73F4" w14:paraId="1DFA6394" w14:textId="77777777" w:rsidTr="006C03B1">
        <w:trPr>
          <w:jc w:val="center"/>
        </w:trPr>
        <w:tc>
          <w:tcPr>
            <w:tcW w:w="6096" w:type="dxa"/>
            <w:gridSpan w:val="2"/>
            <w:tcBorders>
              <w:top w:val="nil"/>
              <w:left w:val="nil"/>
              <w:bottom w:val="single" w:sz="12" w:space="0" w:color="000000"/>
              <w:right w:val="nil"/>
            </w:tcBorders>
            <w:tcMar>
              <w:top w:w="120" w:type="dxa"/>
              <w:left w:w="120" w:type="dxa"/>
              <w:bottom w:w="60" w:type="dxa"/>
              <w:right w:w="120" w:type="dxa"/>
            </w:tcMar>
            <w:vAlign w:val="center"/>
          </w:tcPr>
          <w:p w14:paraId="676B6479" w14:textId="4CFF523C" w:rsidR="001B73F4" w:rsidRPr="00D24B43" w:rsidRDefault="001B73F4" w:rsidP="00670431">
            <w:pPr>
              <w:pStyle w:val="TableTitle"/>
              <w:ind w:left="256" w:hangingChars="128" w:hanging="256"/>
              <w:rPr>
                <w:rFonts w:ascii="Helvetica" w:eastAsia="宋体" w:hAnsi="Helvetica" w:cs="Times New Roman"/>
                <w:b w:val="0"/>
                <w:bCs w:val="0"/>
                <w:color w:val="auto"/>
                <w:w w:val="100"/>
                <w:sz w:val="24"/>
                <w:szCs w:val="24"/>
                <w:lang w:val="en-GB" w:eastAsia="zh-CN"/>
              </w:rPr>
            </w:pPr>
            <w:r w:rsidRPr="001B73F4">
              <w:rPr>
                <w:color w:val="auto"/>
                <w:w w:val="100"/>
                <w:lang w:val="en-GB" w:eastAsia="ko-KR"/>
              </w:rPr>
              <w:t xml:space="preserve">Table 9-xxx: Threshold for </w:t>
            </w:r>
            <w:r w:rsidR="00541D5F">
              <w:rPr>
                <w:color w:val="auto"/>
                <w:w w:val="100"/>
                <w:lang w:val="en-GB" w:eastAsia="ko-KR"/>
              </w:rPr>
              <w:t>MSDU</w:t>
            </w:r>
            <w:r w:rsidRPr="001B73F4">
              <w:rPr>
                <w:color w:val="auto"/>
                <w:w w:val="100"/>
                <w:lang w:val="en-GB" w:eastAsia="ko-KR"/>
              </w:rPr>
              <w:t xml:space="preserve"> Delivery Ratio field values</w:t>
            </w:r>
          </w:p>
        </w:tc>
      </w:tr>
      <w:tr w:rsidR="001B73F4" w14:paraId="363EE01E" w14:textId="77777777" w:rsidTr="006C03B1">
        <w:trPr>
          <w:trHeight w:val="440"/>
          <w:jc w:val="center"/>
        </w:trPr>
        <w:tc>
          <w:tcPr>
            <w:tcW w:w="181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29CAF4A4" w14:textId="77777777" w:rsidR="001B73F4" w:rsidRPr="001B73F4" w:rsidRDefault="001B73F4" w:rsidP="00670431">
            <w:pPr>
              <w:pStyle w:val="CellHeading"/>
              <w:rPr>
                <w:rFonts w:eastAsia="MS Mincho"/>
                <w:sz w:val="20"/>
                <w:szCs w:val="20"/>
                <w:lang w:eastAsia="ja-JP"/>
              </w:rPr>
            </w:pPr>
            <w:r w:rsidRPr="001B73F4">
              <w:rPr>
                <w:rFonts w:eastAsia="MS Mincho"/>
                <w:sz w:val="20"/>
                <w:szCs w:val="20"/>
                <w:lang w:eastAsia="ja-JP"/>
              </w:rPr>
              <w:t>Value</w:t>
            </w:r>
          </w:p>
        </w:tc>
        <w:tc>
          <w:tcPr>
            <w:tcW w:w="428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6A18032E" w14:textId="77777777" w:rsidR="001B73F4" w:rsidRPr="001B73F4" w:rsidRDefault="001B73F4" w:rsidP="00670431">
            <w:pPr>
              <w:pStyle w:val="CellHeading"/>
              <w:rPr>
                <w:rFonts w:eastAsia="MS Mincho"/>
                <w:sz w:val="20"/>
                <w:szCs w:val="20"/>
                <w:lang w:eastAsia="ja-JP"/>
              </w:rPr>
            </w:pPr>
            <w:r w:rsidRPr="001B73F4">
              <w:rPr>
                <w:rFonts w:eastAsia="MS Mincho"/>
                <w:sz w:val="20"/>
                <w:szCs w:val="20"/>
                <w:lang w:eastAsia="ja-JP"/>
              </w:rPr>
              <w:t>Packet delivery ratio</w:t>
            </w:r>
          </w:p>
        </w:tc>
      </w:tr>
      <w:tr w:rsidR="001B73F4" w14:paraId="6C7CBBF1"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528A1A9"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0</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2CEA42B"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Not specified</w:t>
            </w:r>
          </w:p>
        </w:tc>
      </w:tr>
      <w:tr w:rsidR="001B73F4" w14:paraId="1E2748CC"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84300D8"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1</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D840E5A"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w:t>
            </w:r>
          </w:p>
        </w:tc>
      </w:tr>
      <w:tr w:rsidR="001B73F4" w14:paraId="7576F18E"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64207321"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2</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4BED9B98"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99.9%</w:t>
            </w:r>
          </w:p>
        </w:tc>
      </w:tr>
      <w:tr w:rsidR="001B73F4" w14:paraId="5F64A7C3"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6F1DBE88"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3</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6323619D"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99.99%</w:t>
            </w:r>
          </w:p>
        </w:tc>
      </w:tr>
      <w:tr w:rsidR="001B73F4" w14:paraId="2174ABBE"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3384DAFA"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4</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AD17B52"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99.999%</w:t>
            </w:r>
          </w:p>
        </w:tc>
      </w:tr>
      <w:tr w:rsidR="001B73F4" w14:paraId="38FF8782"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13ED5F49"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5</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146D1D08"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99.9999%</w:t>
            </w:r>
          </w:p>
        </w:tc>
      </w:tr>
      <w:tr w:rsidR="001B73F4" w14:paraId="0DF1D9CF"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3DFE6AA2" w14:textId="0EF08331"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6 - 255</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644D8B9C"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Reserved</w:t>
            </w:r>
          </w:p>
        </w:tc>
      </w:tr>
    </w:tbl>
    <w:p w14:paraId="1E730A3A" w14:textId="3ACF2097" w:rsidR="006C03B1" w:rsidRPr="006C03B1" w:rsidRDefault="006C03B1" w:rsidP="006C03B1">
      <w:pPr>
        <w:pStyle w:val="T"/>
      </w:pPr>
      <w:r w:rsidRPr="006C03B1">
        <w:t xml:space="preserve">The Threshold for Maximum Jitter field contains an unsigned integer that specifies the threshold for the maximum amount of time, in microseconds, allowed for </w:t>
      </w:r>
      <w:r w:rsidR="000B743B">
        <w:t>d</w:t>
      </w:r>
      <w:r w:rsidRPr="006C03B1">
        <w:t xml:space="preserve">elay </w:t>
      </w:r>
      <w:r w:rsidR="000B743B">
        <w:t>v</w:t>
      </w:r>
      <w:r w:rsidRPr="006C03B1">
        <w:t>ariation to transport two sequential MSDU</w:t>
      </w:r>
      <w:r w:rsidR="00541D5F">
        <w:t>s</w:t>
      </w:r>
      <w:r w:rsidRPr="006C03B1">
        <w:t xml:space="preserve"> or A-MSDU</w:t>
      </w:r>
      <w:r w:rsidR="00541D5F">
        <w:t>s</w:t>
      </w:r>
      <w:r w:rsidRPr="006C03B1">
        <w:t xml:space="preserve"> belonging to the </w:t>
      </w:r>
      <w:r>
        <w:t>traffic stream</w:t>
      </w:r>
      <w:r w:rsidRPr="006C03B1">
        <w:t>. The Threshold for Maximum Jitter field is optional.</w:t>
      </w:r>
    </w:p>
    <w:p w14:paraId="7EFD5CDF" w14:textId="4F867582" w:rsidR="006B04B6" w:rsidRDefault="006B04B6" w:rsidP="00363C4D">
      <w:pPr>
        <w:pStyle w:val="T"/>
        <w:rPr>
          <w:rFonts w:eastAsiaTheme="minorEastAsia"/>
          <w:lang w:eastAsia="ko-KR"/>
        </w:rPr>
      </w:pPr>
    </w:p>
    <w:p w14:paraId="7456DDDB" w14:textId="438A0E66" w:rsidR="00455E0E" w:rsidRDefault="00455E0E"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1F18FC31" w:rsidR="00455E0E" w:rsidRPr="00455E0E" w:rsidRDefault="00455E0E" w:rsidP="00363C4D">
      <w:pPr>
        <w:pStyle w:val="T"/>
      </w:pPr>
      <w:r w:rsidRPr="00455E0E">
        <w:t>[1] CR TSPEC, 11-21-0619-02-00be-cr-tspec</w:t>
      </w:r>
    </w:p>
    <w:sectPr w:rsidR="00455E0E" w:rsidRPr="00455E0E"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95EC9" w14:textId="77777777" w:rsidR="00AD20E8" w:rsidRDefault="00AD20E8" w:rsidP="00747EF6">
      <w:r>
        <w:separator/>
      </w:r>
    </w:p>
  </w:endnote>
  <w:endnote w:type="continuationSeparator" w:id="0">
    <w:p w14:paraId="068E5CB7" w14:textId="77777777" w:rsidR="00AD20E8" w:rsidRDefault="00AD20E8"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AD20E8"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8AF34" w14:textId="77777777" w:rsidR="00AD20E8" w:rsidRDefault="00AD20E8" w:rsidP="00747EF6">
      <w:r>
        <w:separator/>
      </w:r>
    </w:p>
  </w:footnote>
  <w:footnote w:type="continuationSeparator" w:id="0">
    <w:p w14:paraId="23C15726" w14:textId="77777777" w:rsidR="00AD20E8" w:rsidRDefault="00AD20E8"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037E8CA1" w:rsidR="00C13211" w:rsidRDefault="00F6036D" w:rsidP="00747EF6">
    <w:pPr>
      <w:pStyle w:val="a4"/>
    </w:pPr>
    <w:r>
      <w:t>August</w:t>
    </w:r>
    <w:r w:rsidR="00C13211">
      <w:t xml:space="preserve"> 20</w:t>
    </w:r>
    <w:r w:rsidR="00A00A90">
      <w:t>2</w:t>
    </w:r>
    <w:r w:rsidR="00C54934">
      <w:t>1</w:t>
    </w:r>
    <w:r w:rsidR="00C13211">
      <w:tab/>
    </w:r>
    <w:r w:rsidR="0029642A">
      <w:t xml:space="preserve">                                                 </w:t>
    </w:r>
    <w:r w:rsidR="00AD20E8">
      <w:fldChar w:fldCharType="begin"/>
    </w:r>
    <w:r w:rsidR="00AD20E8">
      <w:instrText xml:space="preserve"> TITLE  \* MERGEFORMAT </w:instrText>
    </w:r>
    <w:r w:rsidR="00AD20E8">
      <w:fldChar w:fldCharType="separate"/>
    </w:r>
    <w:r w:rsidR="00384158">
      <w:t>doc.: IEEE 802.11-2</w:t>
    </w:r>
    <w:r w:rsidR="00C54934">
      <w:t>1</w:t>
    </w:r>
    <w:r w:rsidR="0029642A">
      <w:t>/</w:t>
    </w:r>
    <w:r w:rsidR="00657054">
      <w:t>1290</w:t>
    </w:r>
    <w:r w:rsidR="00384158">
      <w:t>r</w:t>
    </w:r>
    <w:r w:rsidR="00736C48">
      <w:t>0</w:t>
    </w:r>
    <w:r w:rsidR="00AD20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2"/>
  </w:num>
  <w:num w:numId="12">
    <w:abstractNumId w:val="5"/>
  </w:num>
  <w:num w:numId="13">
    <w:abstractNumId w:val="6"/>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A10"/>
    <w:rsid w:val="00601BCB"/>
    <w:rsid w:val="00602046"/>
    <w:rsid w:val="00603873"/>
    <w:rsid w:val="00606B9C"/>
    <w:rsid w:val="00610293"/>
    <w:rsid w:val="006104BB"/>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725B"/>
    <w:rsid w:val="00887524"/>
    <w:rsid w:val="00887583"/>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1B7C"/>
    <w:rsid w:val="00AC1BC4"/>
    <w:rsid w:val="00AC21FC"/>
    <w:rsid w:val="00AC255B"/>
    <w:rsid w:val="00AC2BF7"/>
    <w:rsid w:val="00AC31EB"/>
    <w:rsid w:val="00AC3548"/>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21A9"/>
    <w:rsid w:val="00BE263E"/>
    <w:rsid w:val="00BE390A"/>
    <w:rsid w:val="00BE3F11"/>
    <w:rsid w:val="00BE438D"/>
    <w:rsid w:val="00BE50F9"/>
    <w:rsid w:val="00BE5322"/>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1117</Words>
  <Characters>6370</Characters>
  <Application>Microsoft Office Word</Application>
  <DocSecurity>0</DocSecurity>
  <Lines>53</Lines>
  <Paragraphs>14</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7473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20</cp:revision>
  <cp:lastPrinted>2010-05-04T03:47:00Z</cp:lastPrinted>
  <dcterms:created xsi:type="dcterms:W3CDTF">2021-08-06T09:01:00Z</dcterms:created>
  <dcterms:modified xsi:type="dcterms:W3CDTF">2021-08-06T11:37:00Z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