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D6A8D6C" w:rsidR="00BD6FB0" w:rsidRPr="002A26D1" w:rsidRDefault="00486768" w:rsidP="00AF4CD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137885">
              <w:rPr>
                <w:b/>
                <w:sz w:val="28"/>
                <w:szCs w:val="28"/>
                <w:lang w:val="en-US"/>
              </w:rPr>
              <w:t>1.</w:t>
            </w:r>
            <w:r w:rsidR="00700311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F4CDF">
              <w:rPr>
                <w:b/>
                <w:sz w:val="28"/>
                <w:szCs w:val="28"/>
                <w:lang w:val="en-US" w:eastAsia="ko-KR"/>
              </w:rPr>
              <w:t>CID 5718 and 8102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136DEB5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892178">
              <w:rPr>
                <w:rFonts w:hint="eastAsia"/>
                <w:lang w:eastAsia="ko-KR"/>
              </w:rPr>
              <w:t>27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bookmarkStart w:id="0" w:name="_GoBack"/>
      <w:bookmarkEnd w:id="0"/>
      <w:r>
        <w:t>Abstract</w:t>
      </w:r>
    </w:p>
    <w:p w14:paraId="5C266623" w14:textId="2E5F6487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8A3DEA">
        <w:rPr>
          <w:lang w:eastAsia="ko-KR"/>
        </w:rPr>
        <w:t>2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43C87B19" w14:textId="39C7EA93" w:rsidR="00004100" w:rsidRDefault="00BB66E7" w:rsidP="00F12E88">
      <w:pPr>
        <w:jc w:val="both"/>
        <w:rPr>
          <w:lang w:eastAsia="ko-KR"/>
        </w:rPr>
      </w:pPr>
      <w:r>
        <w:rPr>
          <w:lang w:eastAsia="ko-KR"/>
        </w:rPr>
        <w:t>5718</w:t>
      </w:r>
      <w:r w:rsidR="00F12E88">
        <w:rPr>
          <w:lang w:eastAsia="ko-KR"/>
        </w:rPr>
        <w:t>, and 8102</w:t>
      </w:r>
    </w:p>
    <w:p w14:paraId="7D273C3B" w14:textId="77777777" w:rsidR="00004100" w:rsidRDefault="00004100" w:rsidP="00004100">
      <w:pPr>
        <w:jc w:val="both"/>
        <w:rPr>
          <w:lang w:eastAsia="ko-KR"/>
        </w:rPr>
      </w:pP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15B0F07B" w14:textId="40064F9D" w:rsidR="005A2ADE" w:rsidRDefault="005A2ADE" w:rsidP="00DF3C0B">
      <w:pPr>
        <w:pStyle w:val="ae"/>
        <w:numPr>
          <w:ilvl w:val="0"/>
          <w:numId w:val="7"/>
        </w:numPr>
        <w:contextualSpacing w:val="0"/>
        <w:jc w:val="both"/>
      </w:pPr>
      <w:r>
        <w:t>Rev 1: updated based on the D1.1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F75FFAA" w14:textId="13478663" w:rsidR="00FB3822" w:rsidRDefault="00FB3822" w:rsidP="00FB3822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BB66E7">
        <w:rPr>
          <w:i/>
          <w:sz w:val="22"/>
          <w:szCs w:val="22"/>
          <w:lang w:eastAsia="ko-KR"/>
        </w:rPr>
        <w:t xml:space="preserve">5718 and </w:t>
      </w:r>
      <w:r>
        <w:rPr>
          <w:i/>
          <w:sz w:val="22"/>
          <w:szCs w:val="22"/>
          <w:lang w:eastAsia="ko-KR"/>
        </w:rPr>
        <w:t xml:space="preserve">8102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3822" w14:paraId="60299D96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CDDEF08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927CA51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689590B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E29F01C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9ED3856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973719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B66E7" w:rsidRPr="00137885" w14:paraId="7CB3FD9E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2D437371" w14:textId="426DF6B0" w:rsidR="00BB66E7" w:rsidRDefault="00BB66E7" w:rsidP="00BB66E7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5718</w:t>
            </w:r>
          </w:p>
        </w:tc>
        <w:tc>
          <w:tcPr>
            <w:tcW w:w="1133" w:type="dxa"/>
            <w:shd w:val="clear" w:color="auto" w:fill="auto"/>
          </w:tcPr>
          <w:p w14:paraId="0FB07EBC" w14:textId="0F9D9A07" w:rsidR="00BB66E7" w:rsidRDefault="00BB66E7" w:rsidP="00BB66E7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00FAAD1F" w14:textId="2C2ABB16" w:rsidR="00BB66E7" w:rsidRDefault="00BB66E7" w:rsidP="00BB66E7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405.62</w:t>
            </w:r>
          </w:p>
        </w:tc>
        <w:tc>
          <w:tcPr>
            <w:tcW w:w="2410" w:type="dxa"/>
            <w:shd w:val="clear" w:color="auto" w:fill="auto"/>
          </w:tcPr>
          <w:p w14:paraId="2BD021EE" w14:textId="7E580BD6" w:rsidR="00BB66E7" w:rsidRDefault="00BB66E7" w:rsidP="00BB66E7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CH_BANDWIDTH defined CBW320-1 and CBW320-2 seperately. CH_BANDWIDTH_IN_NON_HT defined CBW320 as a single value</w:t>
            </w:r>
          </w:p>
        </w:tc>
        <w:tc>
          <w:tcPr>
            <w:tcW w:w="2215" w:type="dxa"/>
            <w:shd w:val="clear" w:color="auto" w:fill="auto"/>
          </w:tcPr>
          <w:p w14:paraId="6AB26C9E" w14:textId="12CB1093" w:rsidR="00BB66E7" w:rsidRDefault="00BB66E7" w:rsidP="00BB66E7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this line to include both CBW320-1 and CBW320-2 or note it somewhere CBW320-1 and CBW320-2 from CH_BANDWIDTH are referred to collectively as CBW320</w:t>
            </w:r>
          </w:p>
        </w:tc>
        <w:tc>
          <w:tcPr>
            <w:tcW w:w="2693" w:type="dxa"/>
            <w:shd w:val="clear" w:color="auto" w:fill="auto"/>
          </w:tcPr>
          <w:p w14:paraId="5C6157F0" w14:textId="77777777" w:rsidR="00BB66E7" w:rsidRDefault="000309AF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56A1F717" w14:textId="77777777" w:rsidR="000309AF" w:rsidRDefault="000309AF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E91149C" w14:textId="78A2A7B4" w:rsidR="00AD7DEA" w:rsidRDefault="00D23198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commenter</w:t>
            </w:r>
          </w:p>
          <w:p w14:paraId="1308ABCA" w14:textId="77777777" w:rsidR="00D23198" w:rsidRDefault="00D23198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D063B0" w14:textId="6EF70613" w:rsidR="00AD7DEA" w:rsidRDefault="00AD7DEA" w:rsidP="00AD7DEA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lang w:eastAsia="ko-KR"/>
              </w:rPr>
              <w:t>TGbe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892178">
              <w:rPr>
                <w:lang w:eastAsia="ko-KR"/>
              </w:rPr>
              <w:t>1245</w:t>
            </w:r>
            <w:r w:rsidR="005A2ADE">
              <w:rPr>
                <w:lang w:eastAsia="ko-KR"/>
              </w:rPr>
              <w:t>-01</w:t>
            </w:r>
            <w:r w:rsidRPr="00A66C4C">
              <w:rPr>
                <w:lang w:eastAsia="ko-KR"/>
              </w:rPr>
              <w:t>-00be-</w:t>
            </w:r>
            <w:r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</w:t>
            </w:r>
            <w:r>
              <w:rPr>
                <w:lang w:eastAsia="ko-KR"/>
              </w:rPr>
              <w:t>CID-5718 and-8102</w:t>
            </w:r>
            <w:r w:rsidRPr="00680DED">
              <w:rPr>
                <w:lang w:eastAsia="ko-KR"/>
              </w:rPr>
              <w:t>.docx</w:t>
            </w:r>
          </w:p>
          <w:p w14:paraId="59FDE7D7" w14:textId="0FA231E8" w:rsidR="00AD7DEA" w:rsidRPr="00AD7DEA" w:rsidRDefault="00AD7DEA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FB3822" w:rsidRPr="00A91C46" w14:paraId="3D5459F3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378F65B9" w14:textId="4EB3208D" w:rsidR="00FB3822" w:rsidRPr="009217A9" w:rsidRDefault="00FB3822" w:rsidP="00FB382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8102</w:t>
            </w:r>
          </w:p>
        </w:tc>
        <w:tc>
          <w:tcPr>
            <w:tcW w:w="1133" w:type="dxa"/>
            <w:shd w:val="clear" w:color="auto" w:fill="auto"/>
          </w:tcPr>
          <w:p w14:paraId="133E4912" w14:textId="29D32493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5785E95E" w14:textId="36DF7014" w:rsidR="00FB3822" w:rsidRPr="009217A9" w:rsidRDefault="00FB3822" w:rsidP="00FB382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405.62</w:t>
            </w:r>
          </w:p>
        </w:tc>
        <w:tc>
          <w:tcPr>
            <w:tcW w:w="2410" w:type="dxa"/>
            <w:shd w:val="clear" w:color="auto" w:fill="auto"/>
          </w:tcPr>
          <w:p w14:paraId="47568CF8" w14:textId="6344B835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CBW320 and CBW320-1/2 are mixed in use. Make the definition clear and ues it properly.</w:t>
            </w:r>
          </w:p>
        </w:tc>
        <w:tc>
          <w:tcPr>
            <w:tcW w:w="2215" w:type="dxa"/>
            <w:shd w:val="clear" w:color="auto" w:fill="auto"/>
          </w:tcPr>
          <w:p w14:paraId="5E6AED6B" w14:textId="7CC05F0F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FFF8797" w14:textId="77777777" w:rsidR="003E38BF" w:rsidRDefault="003E38BF" w:rsidP="003E3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5B8D278F" w14:textId="77777777" w:rsidR="00FB3822" w:rsidRDefault="00FB3822" w:rsidP="00F06C0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A1BAFEC" w14:textId="77777777" w:rsidR="00D23198" w:rsidRDefault="00D23198" w:rsidP="00D2319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commenter</w:t>
            </w:r>
          </w:p>
          <w:p w14:paraId="4338EA6B" w14:textId="77777777" w:rsidR="00D23198" w:rsidRDefault="00D23198" w:rsidP="00F06C0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B787035" w14:textId="079DC5FF" w:rsidR="00AD7DEA" w:rsidRDefault="00AD7DEA" w:rsidP="00AD7DEA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lang w:eastAsia="ko-KR"/>
              </w:rPr>
              <w:t>TGbe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892178">
              <w:rPr>
                <w:lang w:eastAsia="ko-KR"/>
              </w:rPr>
              <w:t>1245</w:t>
            </w:r>
            <w:r w:rsidRPr="00A66C4C">
              <w:rPr>
                <w:lang w:eastAsia="ko-KR"/>
              </w:rPr>
              <w:t>-0</w:t>
            </w:r>
            <w:r w:rsidR="005A2ADE">
              <w:rPr>
                <w:lang w:eastAsia="ko-KR"/>
              </w:rPr>
              <w:t>1</w:t>
            </w:r>
            <w:r w:rsidRPr="00A66C4C">
              <w:rPr>
                <w:lang w:eastAsia="ko-KR"/>
              </w:rPr>
              <w:t>-00be-</w:t>
            </w:r>
            <w:r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</w:t>
            </w:r>
            <w:r>
              <w:rPr>
                <w:lang w:eastAsia="ko-KR"/>
              </w:rPr>
              <w:t>CID-5718 and-8102</w:t>
            </w:r>
            <w:r w:rsidRPr="00680DED">
              <w:rPr>
                <w:lang w:eastAsia="ko-KR"/>
              </w:rPr>
              <w:t>.docx</w:t>
            </w:r>
          </w:p>
          <w:p w14:paraId="689BD557" w14:textId="2B50B3F7" w:rsidR="00AD7DEA" w:rsidRPr="00AD7DEA" w:rsidRDefault="00AD7DEA" w:rsidP="00F06C0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F0AE166" w14:textId="49C7A9E3" w:rsidR="00FB3822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CA05135" w14:textId="39D919E9" w:rsidR="008A3DEA" w:rsidRDefault="008A3DEA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  <w:r w:rsidR="00AF4CDF">
        <w:rPr>
          <w:rStyle w:val="SC13204878"/>
          <w:lang w:eastAsia="ko-KR"/>
        </w:rPr>
        <w:t>CID 5718 and 8102 ha</w:t>
      </w:r>
      <w:r w:rsidR="00E83EC0">
        <w:rPr>
          <w:rStyle w:val="SC13204878"/>
          <w:lang w:eastAsia="ko-KR"/>
        </w:rPr>
        <w:t xml:space="preserve">s pointed out the mixed use </w:t>
      </w:r>
      <w:r w:rsidR="00E83EC0">
        <w:rPr>
          <w:rStyle w:val="SC13204878"/>
          <w:rFonts w:hint="eastAsia"/>
          <w:lang w:eastAsia="ko-KR"/>
        </w:rPr>
        <w:t xml:space="preserve">of </w:t>
      </w:r>
      <w:r w:rsidR="00E83EC0">
        <w:rPr>
          <w:rStyle w:val="SC13204878"/>
          <w:lang w:eastAsia="ko-KR"/>
        </w:rPr>
        <w:t xml:space="preserve">CBW 320 and CBW 320-1/2.  </w:t>
      </w:r>
    </w:p>
    <w:p w14:paraId="3522129F" w14:textId="77777777" w:rsidR="00AA5BB2" w:rsidRDefault="00AA5BB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6015125" w14:textId="77777777" w:rsidR="00294815" w:rsidRPr="00294815" w:rsidRDefault="00294815" w:rsidP="00294815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94815">
        <w:rPr>
          <w:rStyle w:val="SC13204878"/>
          <w:lang w:eastAsia="ko-KR"/>
        </w:rPr>
        <w:t xml:space="preserve">In the 11be D1.01, while the CH_BANDWIDTH of TX/RX vector is defined as CBW320 when the format is NON_HT, it is defined as CBW320-1 and CBW320-2 when the format is EHT_MU and EHT_TB. However, the CBW320 is used to refer CBW320-1/2 without any description in many places of the draft overall. So, it is required to change CBW320 with CBW320-1/2 but, since CBW320 is already used in many subclauses, it may not be easy to change the whole CBW320 as CBW320-1/2. </w:t>
      </w:r>
    </w:p>
    <w:p w14:paraId="7B92B5CE" w14:textId="77777777" w:rsidR="00294815" w:rsidRPr="00294815" w:rsidRDefault="00294815" w:rsidP="00294815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94815">
        <w:rPr>
          <w:rStyle w:val="SC13204878"/>
          <w:lang w:eastAsia="ko-KR"/>
        </w:rPr>
        <w:t xml:space="preserve">In addition, this CBW320 term is usually used to describe the channel bandwidth of PPDU regardless of the channelization of 320MHz. </w:t>
      </w:r>
    </w:p>
    <w:p w14:paraId="4A610929" w14:textId="465596F9" w:rsidR="00294815" w:rsidRDefault="00294815" w:rsidP="00294815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94815">
        <w:rPr>
          <w:rStyle w:val="SC13204878"/>
          <w:lang w:eastAsia="ko-KR"/>
        </w:rPr>
        <w:t>Therefore, in order to use the CBW320-1/2 and CBW320 properly in the draft, we suggest following modification of table 36-3 regarding CBW320</w:t>
      </w:r>
    </w:p>
    <w:p w14:paraId="364C0B33" w14:textId="77777777" w:rsidR="00F837F7" w:rsidRDefault="00F837F7" w:rsidP="00F837F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E9098A7" w14:textId="58C15CCD" w:rsidR="00BB7570" w:rsidRDefault="00BB7570" w:rsidP="00BB7570">
      <w:pPr>
        <w:rPr>
          <w:b/>
          <w:i/>
          <w:lang w:eastAsia="ko-KR"/>
        </w:rPr>
      </w:pPr>
      <w:r>
        <w:rPr>
          <w:rStyle w:val="SC13204878"/>
          <w:lang w:eastAsia="ko-KR"/>
        </w:rPr>
        <w:t xml:space="preserve"> </w:t>
      </w: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AD7DEA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</w:t>
      </w:r>
      <w:r w:rsidR="00AD7DEA">
        <w:rPr>
          <w:b/>
          <w:i/>
          <w:lang w:eastAsia="ko-KR"/>
        </w:rPr>
        <w:t xml:space="preserve">table 36-3 </w:t>
      </w:r>
      <w:r w:rsidR="00AD7DEA" w:rsidRPr="00AD7DEA">
        <w:rPr>
          <w:b/>
          <w:i/>
          <w:lang w:eastAsia="ko-KR"/>
        </w:rPr>
        <w:t xml:space="preserve">Interpretation of FORMAT, NON_HT_MODULATION, and CH_BANDWIDTH parameters </w:t>
      </w:r>
      <w:r w:rsidR="00AD7DEA">
        <w:rPr>
          <w:b/>
          <w:i/>
          <w:lang w:eastAsia="ko-KR"/>
        </w:rPr>
        <w:t>in 11b</w:t>
      </w:r>
      <w:r w:rsidR="005A2ADE">
        <w:rPr>
          <w:b/>
          <w:i/>
          <w:lang w:eastAsia="ko-KR"/>
        </w:rPr>
        <w:t>e</w:t>
      </w:r>
      <w:r w:rsidR="00AD7DEA">
        <w:rPr>
          <w:b/>
          <w:i/>
          <w:lang w:eastAsia="ko-KR"/>
        </w:rPr>
        <w:t xml:space="preserve"> D1.1 </w:t>
      </w:r>
      <w:r>
        <w:rPr>
          <w:b/>
          <w:i/>
          <w:lang w:eastAsia="ko-KR"/>
        </w:rPr>
        <w:t xml:space="preserve">as follows </w:t>
      </w:r>
    </w:p>
    <w:p w14:paraId="56E49CA9" w14:textId="77777777" w:rsidR="00BB7570" w:rsidRPr="00245666" w:rsidRDefault="00BB7570" w:rsidP="00BB7570">
      <w:pPr>
        <w:rPr>
          <w:rFonts w:ascii="Calibri" w:hAnsi="Calibri" w:cs="Calibri"/>
          <w:i/>
          <w:iCs/>
          <w:szCs w:val="22"/>
        </w:rPr>
      </w:pPr>
    </w:p>
    <w:p w14:paraId="1D291471" w14:textId="77777777" w:rsidR="000309AF" w:rsidRDefault="000309AF" w:rsidP="009E34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53A5F01" w14:textId="77777777" w:rsidR="00AD7DEA" w:rsidRDefault="00AD7DEA" w:rsidP="00AD7DEA">
      <w:pPr>
        <w:pStyle w:val="af5"/>
        <w:kinsoku w:val="0"/>
        <w:overflowPunct w:val="0"/>
        <w:spacing w:before="189" w:line="249" w:lineRule="auto"/>
        <w:ind w:left="4113" w:right="359" w:hanging="352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36-3—Interpretation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FORMAT,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NON_HT_MODULATION,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CH_BANDWIDTH</w:t>
      </w:r>
      <w:r>
        <w:rPr>
          <w:rFonts w:ascii="Arial" w:hAnsi="Arial" w:cs="Arial"/>
          <w:b/>
          <w:bCs/>
          <w:spacing w:val="-53"/>
        </w:rPr>
        <w:t xml:space="preserve"> </w:t>
      </w:r>
      <w:r>
        <w:rPr>
          <w:rFonts w:ascii="Arial" w:hAnsi="Arial" w:cs="Arial"/>
          <w:b/>
          <w:bCs/>
        </w:rPr>
        <w:t>parameters</w:t>
      </w:r>
    </w:p>
    <w:p w14:paraId="5B5B8EE4" w14:textId="77777777" w:rsidR="00AD7DEA" w:rsidRDefault="00AD7DEA" w:rsidP="00AD7DEA">
      <w:pPr>
        <w:pStyle w:val="af5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599"/>
        <w:gridCol w:w="1799"/>
        <w:gridCol w:w="3999"/>
      </w:tblGrid>
      <w:tr w:rsidR="00AD7DEA" w14:paraId="14524768" w14:textId="77777777" w:rsidTr="00C36B88">
        <w:trPr>
          <w:trHeight w:val="6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2859F76" w14:textId="77777777" w:rsidR="00AD7DEA" w:rsidRDefault="00AD7DEA" w:rsidP="00C36B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B435B84" w14:textId="77777777" w:rsidR="00AD7DEA" w:rsidRDefault="00AD7DEA" w:rsidP="00C36B88">
            <w:pPr>
              <w:pStyle w:val="TableParagraph"/>
              <w:kinsoku w:val="0"/>
              <w:overflowPunct w:val="0"/>
              <w:ind w:left="1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FORMAT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1AB524" w14:textId="77777777" w:rsidR="00AD7DEA" w:rsidRDefault="00AD7DEA" w:rsidP="00C36B88">
            <w:pPr>
              <w:pStyle w:val="TableParagraph"/>
              <w:kinsoku w:val="0"/>
              <w:overflowPunct w:val="0"/>
              <w:spacing w:before="104" w:line="230" w:lineRule="auto"/>
              <w:ind w:left="171" w:right="132" w:firstLine="219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NON_HT_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MODULATION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A3E5EA" w14:textId="77777777" w:rsidR="00AD7DEA" w:rsidRDefault="00AD7DEA" w:rsidP="00C36B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BB838EC" w14:textId="77777777" w:rsidR="00AD7DEA" w:rsidRDefault="00AD7DEA" w:rsidP="00C36B88">
            <w:pPr>
              <w:pStyle w:val="TableParagraph"/>
              <w:kinsoku w:val="0"/>
              <w:overflowPunct w:val="0"/>
              <w:ind w:left="1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CH_BANDWIDTH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6C7366" w14:textId="77777777" w:rsidR="00AD7DEA" w:rsidRDefault="00AD7DEA" w:rsidP="00C36B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C93FCB4" w14:textId="77777777" w:rsidR="00AD7DEA" w:rsidRDefault="00AD7DEA" w:rsidP="00C36B88">
            <w:pPr>
              <w:pStyle w:val="TableParagraph"/>
              <w:kinsoku w:val="0"/>
              <w:overflowPunct w:val="0"/>
              <w:ind w:left="1466" w:right="142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PPDU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format</w:t>
            </w:r>
          </w:p>
        </w:tc>
      </w:tr>
      <w:tr w:rsidR="00AD7DEA" w14:paraId="2F1E93E4" w14:textId="77777777" w:rsidTr="00C36B88">
        <w:trPr>
          <w:trHeight w:val="941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8A153B" w14:textId="77777777" w:rsidR="00AD7DEA" w:rsidRDefault="00AD7DEA" w:rsidP="00C36B88">
            <w:pPr>
              <w:pStyle w:val="TableParagraph"/>
              <w:kinsoku w:val="0"/>
              <w:overflowPunct w:val="0"/>
              <w:spacing w:before="63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57F7" w14:textId="77777777" w:rsidR="00AD7DEA" w:rsidRDefault="00AD7DEA" w:rsidP="00C36B88">
            <w:pPr>
              <w:pStyle w:val="TableParagraph"/>
              <w:kinsoku w:val="0"/>
              <w:overflowPunct w:val="0"/>
              <w:spacing w:before="5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8F46" w14:textId="77777777" w:rsidR="00AD7DEA" w:rsidRDefault="00AD7DEA" w:rsidP="00C36B88">
            <w:pPr>
              <w:pStyle w:val="TableParagraph"/>
              <w:kinsoku w:val="0"/>
              <w:overflowPunct w:val="0"/>
              <w:spacing w:before="56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CBW20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F94387" w14:textId="77777777" w:rsidR="00AD7DEA" w:rsidRDefault="00AD7DEA" w:rsidP="00C36B88">
            <w:pPr>
              <w:pStyle w:val="TableParagraph"/>
              <w:kinsoku w:val="0"/>
              <w:overflowPunct w:val="0"/>
              <w:spacing w:before="63" w:line="230" w:lineRule="auto"/>
              <w:ind w:left="132"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 transmits an EHT PPDU of 20 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</w:p>
          <w:p w14:paraId="71A05660" w14:textId="77777777" w:rsidR="00AD7DEA" w:rsidRDefault="00AD7DEA" w:rsidP="00C36B88">
            <w:pPr>
              <w:pStyle w:val="TableParagraph"/>
              <w:kinsoku w:val="0"/>
              <w:overflowPunct w:val="0"/>
              <w:spacing w:line="232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shall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72372AFE" w14:textId="77777777" w:rsidTr="00C36B88">
        <w:trPr>
          <w:trHeight w:val="9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31C64C6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2DCB1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94733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CBW40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5D1B48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 transmits an EHT PPDU of 40 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</w:p>
          <w:p w14:paraId="4AEC9C5B" w14:textId="77777777" w:rsidR="00AD7DEA" w:rsidRDefault="00AD7DEA" w:rsidP="00C36B88">
            <w:pPr>
              <w:pStyle w:val="TableParagraph"/>
              <w:kinsoku w:val="0"/>
              <w:overflowPunct w:val="0"/>
              <w:spacing w:line="232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shall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2F75B0C6" w14:textId="77777777" w:rsidTr="00C36B88">
        <w:trPr>
          <w:trHeight w:val="9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794D9B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0C8C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3D84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CBW80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B59E96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 transmits an EHT PPDU of 80 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</w:p>
          <w:p w14:paraId="4091ABB9" w14:textId="77777777" w:rsidR="00AD7DEA" w:rsidRDefault="00AD7DEA" w:rsidP="00C36B88">
            <w:pPr>
              <w:pStyle w:val="TableParagraph"/>
              <w:kinsoku w:val="0"/>
              <w:overflowPunct w:val="0"/>
              <w:spacing w:line="232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shall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7D7028B3" w14:textId="77777777" w:rsidTr="00C36B88">
        <w:trPr>
          <w:trHeight w:val="9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0B6A3B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72C28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5C263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CBW160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DF3139" w14:textId="77777777" w:rsidR="00AD7DEA" w:rsidRDefault="00AD7DEA" w:rsidP="00C36B88">
            <w:pPr>
              <w:pStyle w:val="TableParagraph"/>
              <w:kinsoku w:val="0"/>
              <w:overflowPunct w:val="0"/>
              <w:spacing w:before="74" w:line="232" w:lineRule="auto"/>
              <w:ind w:left="132" w:right="4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 If the BSS bandwidth is wider than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 MHz, then the transmission shall use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 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3CA1CCA8" w14:textId="77777777" w:rsidTr="00C36B88">
        <w:trPr>
          <w:trHeight w:val="5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D668CA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00B4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6A1C" w14:textId="77777777" w:rsidR="00AD7DEA" w:rsidRP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trike/>
                <w:color w:val="FF0000"/>
                <w:sz w:val="18"/>
                <w:szCs w:val="18"/>
              </w:rPr>
            </w:pPr>
            <w:r w:rsidRPr="00AD7DEA">
              <w:rPr>
                <w:strike/>
                <w:color w:val="FF0000"/>
                <w:sz w:val="18"/>
                <w:szCs w:val="18"/>
              </w:rPr>
              <w:t>CBW320</w:t>
            </w:r>
          </w:p>
          <w:p w14:paraId="2268A22B" w14:textId="77777777" w:rsidR="00AD7DEA" w:rsidRP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color w:val="00B0F0"/>
                <w:sz w:val="18"/>
                <w:szCs w:val="18"/>
              </w:rPr>
            </w:pPr>
            <w:r w:rsidRPr="00AD7DEA">
              <w:rPr>
                <w:color w:val="00B0F0"/>
                <w:sz w:val="18"/>
                <w:szCs w:val="18"/>
              </w:rPr>
              <w:t>CBW320-1</w:t>
            </w:r>
          </w:p>
          <w:p w14:paraId="514A9B68" w14:textId="6DFE88D1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 w:rsidRPr="00AD7DEA">
              <w:rPr>
                <w:color w:val="00B0F0"/>
                <w:sz w:val="18"/>
                <w:szCs w:val="18"/>
              </w:rPr>
              <w:t>CBW320-2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8FE428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</w:p>
          <w:p w14:paraId="3638D074" w14:textId="7590D228" w:rsidR="00AD7DEA" w:rsidRPr="00294815" w:rsidRDefault="00294815" w:rsidP="00294815">
            <w:pPr>
              <w:pStyle w:val="TableParagraph"/>
              <w:kinsoku w:val="0"/>
              <w:overflowPunct w:val="0"/>
              <w:spacing w:before="76" w:line="230" w:lineRule="auto"/>
              <w:ind w:left="132" w:right="119"/>
              <w:rPr>
                <w:color w:val="00B0F0"/>
                <w:sz w:val="18"/>
                <w:szCs w:val="18"/>
              </w:rPr>
            </w:pPr>
            <w:r w:rsidRPr="00294815">
              <w:rPr>
                <w:color w:val="00B0F0"/>
                <w:sz w:val="18"/>
                <w:szCs w:val="18"/>
              </w:rPr>
              <w:t>Note : The CH_BANDWIDTH of CBW320-1 and CBW320-2 is interpreted as CBW320 for the transmission of an EHT PPDU of 320 MHz bandwidth</w:t>
            </w:r>
          </w:p>
        </w:tc>
      </w:tr>
      <w:tr w:rsidR="00AD7DEA" w14:paraId="5E7DA539" w14:textId="77777777" w:rsidTr="00C36B88">
        <w:trPr>
          <w:trHeight w:val="7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350CB2" w14:textId="232217FA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NON_HT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4BCF6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OFDM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2153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CBW20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0565EF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119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See Table 21-2 (Interpretation of FORMAT,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NON_HT_MODULATION,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CH_BANDWIDTH,</w:t>
            </w:r>
          </w:p>
          <w:p w14:paraId="3C247A89" w14:textId="77777777" w:rsidR="00AD7DEA" w:rsidRDefault="00AD7DEA" w:rsidP="00C36B88">
            <w:pPr>
              <w:pStyle w:val="TableParagraph"/>
              <w:kinsoku w:val="0"/>
              <w:overflowPunct w:val="0"/>
              <w:spacing w:line="202" w:lineRule="exact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CH_OFFSET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parameters).</w:t>
            </w:r>
          </w:p>
        </w:tc>
      </w:tr>
    </w:tbl>
    <w:p w14:paraId="491C427C" w14:textId="77777777" w:rsidR="00AD7DEA" w:rsidRDefault="00AD7DEA" w:rsidP="009E34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136E4C4" w14:textId="4FDB3CF8" w:rsidR="00AD7DEA" w:rsidRDefault="00AD7DEA" w:rsidP="003737F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AD7DEA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0A29" w14:textId="77777777" w:rsidR="00C20DD4" w:rsidRDefault="00C20DD4">
      <w:r>
        <w:separator/>
      </w:r>
    </w:p>
  </w:endnote>
  <w:endnote w:type="continuationSeparator" w:id="0">
    <w:p w14:paraId="1452F048" w14:textId="77777777" w:rsidR="00C20DD4" w:rsidRDefault="00C2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0D0D4EEE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A2ADE">
      <w:rPr>
        <w:noProof/>
      </w:rPr>
      <w:t>3</w:t>
    </w:r>
    <w:r>
      <w:fldChar w:fldCharType="end"/>
    </w:r>
    <w:r>
      <w:tab/>
    </w:r>
    <w:r w:rsidR="0091133C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DE53D" w14:textId="77777777" w:rsidR="00C20DD4" w:rsidRDefault="00C20DD4">
      <w:r>
        <w:separator/>
      </w:r>
    </w:p>
  </w:footnote>
  <w:footnote w:type="continuationSeparator" w:id="0">
    <w:p w14:paraId="68BC356D" w14:textId="77777777" w:rsidR="00C20DD4" w:rsidRDefault="00C2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B62972D" w:rsidR="00D45587" w:rsidRDefault="005A2AD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Aug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892178">
      <w:t>1245</w:t>
    </w:r>
    <w:r w:rsidR="00446222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09AF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5E8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17B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65DEB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13"/>
    <w:rsid w:val="001A5226"/>
    <w:rsid w:val="001A5C01"/>
    <w:rsid w:val="001A5C04"/>
    <w:rsid w:val="001B02FA"/>
    <w:rsid w:val="001B217E"/>
    <w:rsid w:val="001B2BCE"/>
    <w:rsid w:val="001B5503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8DE"/>
    <w:rsid w:val="00233F21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4815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5C88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7F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38BF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5D71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351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2ADE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A6FAE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0CE6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178"/>
    <w:rsid w:val="0089289E"/>
    <w:rsid w:val="00893069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33C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065"/>
    <w:rsid w:val="009B0CBB"/>
    <w:rsid w:val="009B2ED6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5A16"/>
    <w:rsid w:val="009D75C1"/>
    <w:rsid w:val="009E3337"/>
    <w:rsid w:val="009E3488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D7DEA"/>
    <w:rsid w:val="00AE3368"/>
    <w:rsid w:val="00AE3516"/>
    <w:rsid w:val="00AE56C0"/>
    <w:rsid w:val="00AF04F7"/>
    <w:rsid w:val="00AF2C8F"/>
    <w:rsid w:val="00AF4CD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6E7"/>
    <w:rsid w:val="00BB6AA8"/>
    <w:rsid w:val="00BB7570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0DD4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77E1"/>
    <w:rsid w:val="00D2089E"/>
    <w:rsid w:val="00D20FC5"/>
    <w:rsid w:val="00D23045"/>
    <w:rsid w:val="00D23198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5206F"/>
    <w:rsid w:val="00E534DE"/>
    <w:rsid w:val="00E54234"/>
    <w:rsid w:val="00E5465F"/>
    <w:rsid w:val="00E556EB"/>
    <w:rsid w:val="00E55C95"/>
    <w:rsid w:val="00E5726C"/>
    <w:rsid w:val="00E60532"/>
    <w:rsid w:val="00E60F66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3EC0"/>
    <w:rsid w:val="00E845EF"/>
    <w:rsid w:val="00E85024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1F60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37F7"/>
    <w:rsid w:val="00F90242"/>
    <w:rsid w:val="00F91835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581F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98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5FCE897-0AAF-4735-B1C7-82F72F4A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11-21-1245-00-00be-cc36-cr-for-CID-5718-and-8102</vt:lpstr>
      <vt:lpstr>doc.: IEEE 802.11-16/0024r1</vt:lpstr>
    </vt:vector>
  </TitlesOfParts>
  <Company>Intel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11-21-1245-00-00be-cc36-cr-for-CID-5718-and-8102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2021-08-30T23:25:00Z</dcterms:created>
  <dcterms:modified xsi:type="dcterms:W3CDTF">2021-08-30T23:25:00Z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