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1E0B9957" w:rsidR="00CA09B2" w:rsidRPr="00FA777D" w:rsidRDefault="00264B58" w:rsidP="00BA1C96">
            <w:pPr>
              <w:pStyle w:val="T2"/>
            </w:pPr>
            <w:r>
              <w:t>D</w:t>
            </w:r>
            <w:r w:rsidR="00545609">
              <w:t>1</w:t>
            </w:r>
            <w:r w:rsidR="00435BB2">
              <w:t>.</w:t>
            </w:r>
            <w:r w:rsidR="00545609">
              <w:t>0</w:t>
            </w:r>
            <w:r>
              <w:t xml:space="preserve"> </w:t>
            </w:r>
            <w:r w:rsidR="00ED0142">
              <w:t xml:space="preserve">CR for </w:t>
            </w:r>
            <w:r w:rsidR="00A7237B">
              <w:t xml:space="preserve">Section </w:t>
            </w:r>
            <w:r w:rsidR="003A32B2">
              <w:t>36.</w:t>
            </w:r>
            <w:r w:rsidR="00A2152E">
              <w:t>3.</w:t>
            </w:r>
            <w:r w:rsidR="00207ED6">
              <w:t>1</w:t>
            </w:r>
            <w:r w:rsidR="00545609">
              <w:t>9</w:t>
            </w:r>
            <w:r w:rsidR="00A2152E">
              <w:t>.</w:t>
            </w:r>
            <w:r w:rsidR="00545609">
              <w:t>3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3AD435BC" w:rsidR="00CA09B2" w:rsidRPr="00D61EDD" w:rsidRDefault="00CA09B2" w:rsidP="00BA1C96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7</w:t>
            </w:r>
            <w:r w:rsidR="00421500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20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3E067200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 xml:space="preserve">section </w:t>
      </w:r>
      <w:r w:rsidR="003A32B2">
        <w:rPr>
          <w:lang w:eastAsia="ko-KR"/>
        </w:rPr>
        <w:t>36.</w:t>
      </w:r>
      <w:r w:rsidR="00224A4D">
        <w:rPr>
          <w:lang w:eastAsia="ko-KR"/>
        </w:rPr>
        <w:t>3.</w:t>
      </w:r>
      <w:r w:rsidR="00207ED6">
        <w:rPr>
          <w:lang w:eastAsia="ko-KR"/>
        </w:rPr>
        <w:t>1</w:t>
      </w:r>
      <w:r w:rsidR="00BA1C96">
        <w:rPr>
          <w:lang w:eastAsia="ko-KR"/>
        </w:rPr>
        <w:t xml:space="preserve">9.3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435BB2">
        <w:rPr>
          <w:lang w:eastAsia="ko-KR"/>
        </w:rPr>
        <w:t>be</w:t>
      </w:r>
      <w:proofErr w:type="spellEnd"/>
      <w:r>
        <w:rPr>
          <w:lang w:eastAsia="ko-KR"/>
        </w:rPr>
        <w:t xml:space="preserve"> D</w:t>
      </w:r>
      <w:r w:rsidR="00BA1C96">
        <w:rPr>
          <w:lang w:eastAsia="ko-KR"/>
        </w:rPr>
        <w:t>1</w:t>
      </w:r>
      <w:r w:rsidR="00435BB2">
        <w:rPr>
          <w:lang w:eastAsia="ko-KR"/>
        </w:rPr>
        <w:t>.</w:t>
      </w:r>
      <w:r w:rsidR="00BA1C96">
        <w:rPr>
          <w:lang w:eastAsia="ko-KR"/>
        </w:rPr>
        <w:t>0</w:t>
      </w:r>
      <w:r>
        <w:rPr>
          <w:lang w:eastAsia="ko-KR"/>
        </w:rPr>
        <w:t>:</w:t>
      </w:r>
    </w:p>
    <w:p w14:paraId="41170D27" w14:textId="247223F7" w:rsidR="00BA1C96" w:rsidRDefault="00BA1C96" w:rsidP="00BA1C96">
      <w:pPr>
        <w:pStyle w:val="ListParagraph"/>
        <w:numPr>
          <w:ilvl w:val="0"/>
          <w:numId w:val="213"/>
        </w:numPr>
        <w:jc w:val="both"/>
        <w:rPr>
          <w:lang w:eastAsia="ko-KR"/>
        </w:rPr>
      </w:pPr>
      <w:r>
        <w:rPr>
          <w:lang w:eastAsia="ko-KR"/>
        </w:rPr>
        <w:t>4553, 4544, 6095</w:t>
      </w:r>
    </w:p>
    <w:p w14:paraId="64C52646" w14:textId="77777777" w:rsidR="00EF262A" w:rsidRDefault="00EF262A" w:rsidP="00EF262A"/>
    <w:p w14:paraId="293C0D54" w14:textId="4CE29213" w:rsidR="00EF262A" w:rsidRDefault="00EF262A" w:rsidP="00EF262A">
      <w:r>
        <w:t xml:space="preserve">Baseline documents: </w:t>
      </w:r>
      <w:proofErr w:type="spellStart"/>
      <w:r>
        <w:t>TGbe</w:t>
      </w:r>
      <w:proofErr w:type="spellEnd"/>
      <w:r>
        <w:t xml:space="preserve"> D</w:t>
      </w:r>
      <w:r w:rsidR="00BA1C96">
        <w:t>1.</w:t>
      </w:r>
      <w:r>
        <w:t>0</w:t>
      </w:r>
      <w:r w:rsidR="00BA1C96">
        <w:t>1</w:t>
      </w:r>
      <w:r>
        <w:t>.</w:t>
      </w:r>
      <w:r w:rsidR="00224A4D">
        <w:t xml:space="preserve"> 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397E65E0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1.01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02A8C08C" w14:textId="3CC9CC3B" w:rsidR="00207ED6" w:rsidRDefault="00207ED6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1: Correct section title and abstraction (section number)</w:t>
      </w:r>
      <w:bookmarkStart w:id="0" w:name="_GoBack"/>
      <w:bookmarkEnd w:id="0"/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</w:t>
      </w:r>
      <w:r w:rsidR="00435BB2">
        <w:rPr>
          <w:sz w:val="18"/>
          <w:szCs w:val="18"/>
          <w:lang w:eastAsia="ko-KR"/>
        </w:rPr>
        <w:t>be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BA1C96" w:rsidRPr="00FA777D" w14:paraId="21CE1EF5" w14:textId="77777777" w:rsidTr="007926F3">
        <w:trPr>
          <w:trHeight w:val="159"/>
        </w:trPr>
        <w:tc>
          <w:tcPr>
            <w:tcW w:w="738" w:type="dxa"/>
          </w:tcPr>
          <w:p w14:paraId="3DB4A592" w14:textId="4CB45CD4" w:rsidR="00BA1C96" w:rsidRDefault="00BA1C96" w:rsidP="00BA1C96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4553</w:t>
            </w:r>
          </w:p>
        </w:tc>
        <w:tc>
          <w:tcPr>
            <w:tcW w:w="1134" w:type="dxa"/>
          </w:tcPr>
          <w:p w14:paraId="5640A8F4" w14:textId="3E5A06F5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36.3.19.3</w:t>
            </w:r>
          </w:p>
        </w:tc>
        <w:tc>
          <w:tcPr>
            <w:tcW w:w="845" w:type="dxa"/>
          </w:tcPr>
          <w:p w14:paraId="099E8D75" w14:textId="1EC9CBF5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071" w:type="dxa"/>
          </w:tcPr>
          <w:p w14:paraId="22A57BCD" w14:textId="02B99D03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"and frequency segments"</w:t>
            </w:r>
          </w:p>
        </w:tc>
        <w:tc>
          <w:tcPr>
            <w:tcW w:w="2924" w:type="dxa"/>
          </w:tcPr>
          <w:p w14:paraId="418B2716" w14:textId="25C927DA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the comment.</w:t>
            </w:r>
          </w:p>
        </w:tc>
        <w:tc>
          <w:tcPr>
            <w:tcW w:w="2430" w:type="dxa"/>
          </w:tcPr>
          <w:p w14:paraId="12675900" w14:textId="14FDED4C" w:rsidR="00BA1C96" w:rsidRPr="00224A4D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BA1C96" w:rsidRPr="00FA777D" w14:paraId="4F16E5F4" w14:textId="77777777" w:rsidTr="007926F3">
        <w:trPr>
          <w:trHeight w:val="159"/>
        </w:trPr>
        <w:tc>
          <w:tcPr>
            <w:tcW w:w="738" w:type="dxa"/>
          </w:tcPr>
          <w:p w14:paraId="1838E664" w14:textId="3C809556" w:rsidR="00BA1C96" w:rsidRDefault="00BA1C96" w:rsidP="00BA1C96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4554</w:t>
            </w:r>
          </w:p>
        </w:tc>
        <w:tc>
          <w:tcPr>
            <w:tcW w:w="1134" w:type="dxa"/>
          </w:tcPr>
          <w:p w14:paraId="59EB5110" w14:textId="5ECF846A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36.3.19.3</w:t>
            </w:r>
          </w:p>
        </w:tc>
        <w:tc>
          <w:tcPr>
            <w:tcW w:w="845" w:type="dxa"/>
          </w:tcPr>
          <w:p w14:paraId="3391AF46" w14:textId="5A17AC60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071" w:type="dxa"/>
          </w:tcPr>
          <w:p w14:paraId="76FDEFCF" w14:textId="65CC175C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Wrong reference. Should be "as defined in 36.3.16"</w:t>
            </w:r>
          </w:p>
        </w:tc>
        <w:tc>
          <w:tcPr>
            <w:tcW w:w="2924" w:type="dxa"/>
          </w:tcPr>
          <w:p w14:paraId="06E5E12C" w14:textId="61A910FE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the comment.</w:t>
            </w:r>
          </w:p>
        </w:tc>
        <w:tc>
          <w:tcPr>
            <w:tcW w:w="2430" w:type="dxa"/>
          </w:tcPr>
          <w:p w14:paraId="3BFC09F6" w14:textId="7AC0924D" w:rsidR="00BA1C96" w:rsidRPr="00224A4D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BA1C96" w:rsidRPr="00FA777D" w14:paraId="57A2A0C1" w14:textId="77777777" w:rsidTr="007926F3">
        <w:trPr>
          <w:trHeight w:val="159"/>
        </w:trPr>
        <w:tc>
          <w:tcPr>
            <w:tcW w:w="738" w:type="dxa"/>
          </w:tcPr>
          <w:p w14:paraId="33AB3516" w14:textId="49DA7DDE" w:rsidR="00BA1C96" w:rsidRDefault="00BA1C96" w:rsidP="00BA1C96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134" w:type="dxa"/>
          </w:tcPr>
          <w:p w14:paraId="4A204CC2" w14:textId="66AE8BEA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36.3.19.3</w:t>
            </w:r>
          </w:p>
        </w:tc>
        <w:tc>
          <w:tcPr>
            <w:tcW w:w="845" w:type="dxa"/>
          </w:tcPr>
          <w:p w14:paraId="542D780E" w14:textId="513A77DC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071" w:type="dxa"/>
          </w:tcPr>
          <w:p w14:paraId="6F639929" w14:textId="3D2E95A0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Wrong reference to 36.3.15 (Non-HT duplicate transmission)</w:t>
            </w:r>
          </w:p>
        </w:tc>
        <w:tc>
          <w:tcPr>
            <w:tcW w:w="2924" w:type="dxa"/>
          </w:tcPr>
          <w:p w14:paraId="5AF79F32" w14:textId="3F2EDDA9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reference is 36.3.16 (Transmit requirements for PPDUs sent in response to a triggering frame)</w:t>
            </w:r>
          </w:p>
        </w:tc>
        <w:tc>
          <w:tcPr>
            <w:tcW w:w="2430" w:type="dxa"/>
          </w:tcPr>
          <w:p w14:paraId="03FA81A0" w14:textId="77777777" w:rsidR="00BA1C96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3B588D5D" w14:textId="77777777" w:rsidR="00BA1C96" w:rsidRDefault="00BA1C96" w:rsidP="00BA1C96">
            <w:pPr>
              <w:rPr>
                <w:sz w:val="20"/>
                <w:szCs w:val="20"/>
              </w:rPr>
            </w:pPr>
          </w:p>
          <w:p w14:paraId="68A3312E" w14:textId="108F3455" w:rsidR="00BA1C96" w:rsidRPr="00224A4D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4554 and 6095 are same resolution.</w:t>
            </w:r>
          </w:p>
        </w:tc>
      </w:tr>
    </w:tbl>
    <w:p w14:paraId="0C7FDF88" w14:textId="3C4B99D0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1E5424E7" w14:textId="77777777" w:rsidR="00BA1C96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p w14:paraId="1D186A57" w14:textId="77777777" w:rsidR="00BA1C96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p w14:paraId="6C8546A3" w14:textId="77777777" w:rsidR="00BA1C96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p w14:paraId="4FF3C6BC" w14:textId="77777777" w:rsidR="00BA1C96" w:rsidRPr="002F7A25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sectPr w:rsidR="00BA1C96" w:rsidRPr="002F7A25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7133" w14:textId="77777777" w:rsidR="00854BC7" w:rsidRDefault="00854BC7">
      <w:r>
        <w:separator/>
      </w:r>
    </w:p>
  </w:endnote>
  <w:endnote w:type="continuationSeparator" w:id="0">
    <w:p w14:paraId="07E5785B" w14:textId="77777777" w:rsidR="00854BC7" w:rsidRDefault="0085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207ED6">
      <w:rPr>
        <w:noProof/>
        <w:lang w:val="fr-FR"/>
      </w:rPr>
      <w:t>1</w:t>
    </w:r>
    <w:r>
      <w:fldChar w:fldCharType="end"/>
    </w:r>
    <w:r>
      <w:rPr>
        <w:lang w:val="fr-FR"/>
      </w:rPr>
      <w:tab/>
      <w:t xml:space="preserve">  </w:t>
    </w:r>
    <w:proofErr w:type="spellStart"/>
    <w:r>
      <w:rPr>
        <w:lang w:val="fr-FR"/>
      </w:rPr>
      <w:t>Wookbong</w:t>
    </w:r>
    <w:proofErr w:type="spellEnd"/>
    <w:r>
      <w:rPr>
        <w:lang w:val="fr-FR"/>
      </w:rPr>
      <w:t xml:space="preserve">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D21A" w14:textId="77777777" w:rsidR="00854BC7" w:rsidRDefault="00854BC7">
      <w:r>
        <w:separator/>
      </w:r>
    </w:p>
  </w:footnote>
  <w:footnote w:type="continuationSeparator" w:id="0">
    <w:p w14:paraId="336B71ED" w14:textId="77777777" w:rsidR="00854BC7" w:rsidRDefault="0085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480F0111" w:rsidR="00880E41" w:rsidRDefault="00545609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880E41">
      <w:t xml:space="preserve"> 2021</w:t>
    </w:r>
    <w:r w:rsidR="00880E41">
      <w:tab/>
    </w:r>
    <w:r w:rsidR="00880E41">
      <w:tab/>
    </w:r>
    <w:r w:rsidR="00854BC7">
      <w:fldChar w:fldCharType="begin"/>
    </w:r>
    <w:r w:rsidR="00854BC7">
      <w:instrText xml:space="preserve"> TITLE  \* MERGEFORMAT </w:instrText>
    </w:r>
    <w:r w:rsidR="00854BC7">
      <w:fldChar w:fldCharType="separate"/>
    </w:r>
    <w:r w:rsidR="00880E41">
      <w:t>doc.: IEEE 802.11-21/</w:t>
    </w:r>
    <w:r w:rsidR="00854BC7">
      <w:fldChar w:fldCharType="end"/>
    </w:r>
    <w:r w:rsidR="00C17005">
      <w:t>1212</w:t>
    </w:r>
    <w:r w:rsidR="00DD73D8">
      <w:t>r</w:t>
    </w:r>
    <w:r w:rsidR="00207ED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000008AB"/>
    <w:lvl w:ilvl="0">
      <w:start w:val="3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0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2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51"/>
  </w:num>
  <w:num w:numId="3">
    <w:abstractNumId w:val="154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5"/>
  </w:num>
  <w:num w:numId="6">
    <w:abstractNumId w:val="143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2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0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2"/>
  </w:num>
  <w:num w:numId="18">
    <w:abstractNumId w:val="147"/>
  </w:num>
  <w:num w:numId="19">
    <w:abstractNumId w:val="141"/>
  </w:num>
  <w:num w:numId="20">
    <w:abstractNumId w:val="146"/>
  </w:num>
  <w:num w:numId="21">
    <w:abstractNumId w:val="159"/>
  </w:num>
  <w:num w:numId="22">
    <w:abstractNumId w:val="138"/>
  </w:num>
  <w:num w:numId="23">
    <w:abstractNumId w:val="153"/>
  </w:num>
  <w:num w:numId="24">
    <w:abstractNumId w:val="160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0"/>
  </w:num>
  <w:num w:numId="51">
    <w:abstractNumId w:val="149"/>
  </w:num>
  <w:num w:numId="52">
    <w:abstractNumId w:val="161"/>
  </w:num>
  <w:num w:numId="53">
    <w:abstractNumId w:val="144"/>
  </w:num>
  <w:num w:numId="54">
    <w:abstractNumId w:val="163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2"/>
  </w:num>
  <w:num w:numId="194">
    <w:abstractNumId w:val="145"/>
  </w:num>
  <w:num w:numId="195">
    <w:abstractNumId w:val="157"/>
  </w:num>
  <w:num w:numId="196">
    <w:abstractNumId w:val="148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>
    <w:abstractNumId w:val="158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07ED6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4F9C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BC7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005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FEF5A64-7A99-4FC9-81B0-1D0F8BE0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1688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3</cp:revision>
  <cp:lastPrinted>2013-12-02T17:26:00Z</cp:lastPrinted>
  <dcterms:created xsi:type="dcterms:W3CDTF">2021-07-20T17:59:00Z</dcterms:created>
  <dcterms:modified xsi:type="dcterms:W3CDTF">2021-07-20T18:03:00Z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