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On FrAttacks</w:t>
            </w:r>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63CBE44E" w:rsidR="00CA09B2" w:rsidRDefault="00CA09B2" w:rsidP="00467F9B">
            <w:pPr>
              <w:pStyle w:val="T2"/>
              <w:ind w:left="0"/>
              <w:rPr>
                <w:sz w:val="20"/>
              </w:rPr>
            </w:pPr>
            <w:r>
              <w:rPr>
                <w:sz w:val="20"/>
              </w:rPr>
              <w:t>Date:</w:t>
            </w:r>
            <w:r>
              <w:rPr>
                <w:b w:val="0"/>
                <w:sz w:val="20"/>
              </w:rPr>
              <w:t xml:space="preserve">  </w:t>
            </w:r>
            <w:r w:rsidR="000B0D8E">
              <w:rPr>
                <w:b w:val="0"/>
                <w:sz w:val="20"/>
              </w:rPr>
              <w:t>202</w:t>
            </w:r>
            <w:r w:rsidR="00D70DCE">
              <w:rPr>
                <w:b w:val="0"/>
                <w:sz w:val="20"/>
              </w:rPr>
              <w:t>2</w:t>
            </w:r>
            <w:r w:rsidR="000B0D8E">
              <w:rPr>
                <w:b w:val="0"/>
                <w:sz w:val="20"/>
              </w:rPr>
              <w:t>-0</w:t>
            </w:r>
            <w:r w:rsidR="007B12D8">
              <w:rPr>
                <w:b w:val="0"/>
                <w:sz w:val="20"/>
              </w:rPr>
              <w:t>4-27</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r w:rsidRPr="001B05DC">
              <w:rPr>
                <w:b w:val="0"/>
                <w:sz w:val="16"/>
              </w:rPr>
              <w:t>mathy.vanhoef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Ruckus/CommScope</w:t>
            </w:r>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r w:rsidRPr="001B05DC">
              <w:rPr>
                <w:b w:val="0"/>
                <w:sz w:val="20"/>
                <w:lang w:val="fr-FR"/>
              </w:rPr>
              <w:t>Qualcomm,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88021C"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E543A41" w14:textId="27A59F76" w:rsidR="00770C1A" w:rsidRDefault="00422A3A" w:rsidP="004127D7">
      <w:pPr>
        <w:pStyle w:val="ListParagraph"/>
        <w:numPr>
          <w:ilvl w:val="0"/>
          <w:numId w:val="2"/>
        </w:numPr>
        <w:rPr>
          <w:sz w:val="20"/>
        </w:rPr>
      </w:pPr>
      <w:r>
        <w:t>A-MSDUs must not be fragmented</w:t>
      </w:r>
      <w:r w:rsidR="004127D7">
        <w:t>, except that</w:t>
      </w:r>
      <w:r>
        <w:t xml:space="preserve"> A-MSDUs may be </w:t>
      </w:r>
      <w:r w:rsidR="004063C0">
        <w:t>(“dynamic</w:t>
      </w:r>
      <w:r w:rsidR="005816E5">
        <w:t>”</w:t>
      </w:r>
      <w:r w:rsidR="004063C0">
        <w:t xml:space="preserve">ally) </w:t>
      </w:r>
      <w:r w:rsidR="00247CA1">
        <w:t>fragmented under 802.11ax-2021</w:t>
      </w:r>
    </w:p>
    <w:p w14:paraId="60264CE4" w14:textId="60D21A15" w:rsidR="00323C06" w:rsidRPr="00323C06" w:rsidRDefault="00323C06" w:rsidP="00323C06">
      <w:pPr>
        <w:pStyle w:val="ListParagraph"/>
        <w:numPr>
          <w:ilvl w:val="1"/>
          <w:numId w:val="2"/>
        </w:numPr>
      </w:pPr>
      <w:r w:rsidRPr="00323C06">
        <w:t>But the A-MSDU Present subfield has to be the same</w:t>
      </w:r>
      <w:r>
        <w:t xml:space="preserve"> for all the fragments of whatever you’re fragmenting (A-MSDU or MSDU-that-is-not-in-an-A-MSDU)</w:t>
      </w:r>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r>
        <w:t>EAPOL PDU</w:t>
      </w:r>
      <w:r w:rsidR="009940F3">
        <w:t>s must not be forwarded</w:t>
      </w:r>
    </w:p>
    <w:p w14:paraId="70DA62EB" w14:textId="31C4A1FB" w:rsidR="009940F3" w:rsidRPr="00422A3A" w:rsidRDefault="009940F3" w:rsidP="009940F3">
      <w:pPr>
        <w:pStyle w:val="ListParagraph"/>
        <w:numPr>
          <w:ilvl w:val="0"/>
          <w:numId w:val="2"/>
        </w:numPr>
        <w:rPr>
          <w:u w:val="single"/>
        </w:rPr>
      </w:pPr>
      <w:r>
        <w:t>E</w:t>
      </w:r>
      <w:r w:rsidR="006E0F9A">
        <w:t>APOL PDU</w:t>
      </w:r>
      <w:r>
        <w:t xml:space="preserve">s must not be </w:t>
      </w:r>
      <w:r w:rsidR="00CB7B74">
        <w:t>group</w:t>
      </w:r>
      <w:r>
        <w:t>cast</w:t>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r w:rsidR="00CB7B74">
        <w:t>group</w:t>
      </w:r>
      <w:r>
        <w:t xml:space="preserve">cast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r>
        <w:t>Similarly with unprotected Management frames if MFP is used</w:t>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Need to allow for an M3 retx during the initial 4WH that will be unencrypted (and potentially fragmented too)</w:t>
      </w:r>
      <w:r w:rsidR="006944E7">
        <w:t>, even though by then the key</w:t>
      </w:r>
      <w:r w:rsidR="00D14636">
        <w:t xml:space="preserve"> will have been installed at the Supplicant</w:t>
      </w:r>
    </w:p>
    <w:p w14:paraId="63D5FDA9" w14:textId="152BC5E5" w:rsidR="00057452" w:rsidRPr="00057452" w:rsidDel="00280E7E" w:rsidRDefault="00057452" w:rsidP="00057452">
      <w:pPr>
        <w:pStyle w:val="ListParagraph"/>
        <w:numPr>
          <w:ilvl w:val="1"/>
          <w:numId w:val="2"/>
        </w:numPr>
      </w:pPr>
      <w:r w:rsidDel="00280E7E">
        <w:t>Need to allow for an M3 retx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r w:rsidR="00E0667B">
        <w:t xml:space="preserve"> (this </w:t>
      </w:r>
      <w:r w:rsidR="0050257D">
        <w:t xml:space="preserve">particular </w:t>
      </w:r>
      <w:r w:rsidR="00E0667B">
        <w:t>problem is solved if both ends of the link support extended Key IDs for individually addressed frames)</w:t>
      </w:r>
    </w:p>
    <w:p w14:paraId="50EA5D6E" w14:textId="77777777" w:rsidR="009E135A" w:rsidRDefault="009E135A" w:rsidP="005A06C5">
      <w:pPr>
        <w:rPr>
          <w:u w:val="single"/>
        </w:rPr>
      </w:pPr>
    </w:p>
    <w:p w14:paraId="689A7D5D" w14:textId="0357312A" w:rsidR="00DC2BB7" w:rsidRPr="00776CDE" w:rsidRDefault="00DC2BB7" w:rsidP="005A06C5">
      <w:r w:rsidRPr="00DC2BB7">
        <w:rPr>
          <w:u w:val="single"/>
        </w:rPr>
        <w:t>Proposed changes</w:t>
      </w:r>
      <w:r w:rsidR="009E135A">
        <w:rPr>
          <w:u w:val="single"/>
        </w:rPr>
        <w:t xml:space="preserve"> (</w:t>
      </w:r>
      <w:r w:rsidR="005C5819">
        <w:rPr>
          <w:u w:val="single"/>
        </w:rPr>
        <w:t>n</w:t>
      </w:r>
      <w:r w:rsidR="009E135A" w:rsidRPr="009E135A">
        <w:rPr>
          <w:u w:val="single"/>
        </w:rPr>
        <w:t xml:space="preserve">ote to Editor: </w:t>
      </w:r>
      <w:r w:rsidR="009E135A">
        <w:rPr>
          <w:u w:val="single"/>
        </w:rPr>
        <w:t>these changes are for</w:t>
      </w:r>
      <w:r w:rsidR="009E135A" w:rsidRPr="009E135A">
        <w:rPr>
          <w:u w:val="single"/>
        </w:rPr>
        <w:t xml:space="preserve"> CID 2128</w:t>
      </w:r>
      <w:r w:rsidR="009E135A">
        <w:rPr>
          <w:u w:val="single"/>
        </w:rPr>
        <w:t>)</w:t>
      </w:r>
      <w:r w:rsidRPr="00DC2BB7">
        <w:rPr>
          <w:u w:val="single"/>
        </w:rPr>
        <w:t>:</w:t>
      </w:r>
    </w:p>
    <w:p w14:paraId="09C857CB" w14:textId="4AC653C7" w:rsidR="00DC2BB7" w:rsidRDefault="00DC2BB7" w:rsidP="005A06C5"/>
    <w:p w14:paraId="7203A86E" w14:textId="0DA02A56" w:rsidR="00FD49CF" w:rsidRDefault="00FD49CF" w:rsidP="00FD49CF">
      <w:r>
        <w:t xml:space="preserve">In </w:t>
      </w:r>
      <w:r w:rsidRPr="00E90417">
        <w:t>10.4 MSDU</w:t>
      </w:r>
      <w:r w:rsidR="00E67B54">
        <w:t>, A-MSDU</w:t>
      </w:r>
      <w:r w:rsidRPr="00E90417">
        <w:t xml:space="preserve"> and MMPDU fragmentation</w:t>
      </w:r>
      <w:r>
        <w:t xml:space="preserve"> add after the third para (“</w:t>
      </w:r>
      <w:r w:rsidRPr="00E90417">
        <w:t>A fragment is an MPDU</w:t>
      </w:r>
      <w:r>
        <w:t xml:space="preserve"> […]”):</w:t>
      </w:r>
    </w:p>
    <w:p w14:paraId="11618331" w14:textId="77777777" w:rsidR="00FD49CF" w:rsidRDefault="00FD49CF" w:rsidP="00FD49CF"/>
    <w:p w14:paraId="64F2B2C2" w14:textId="208DB68A" w:rsidR="00FD49CF" w:rsidRPr="0021733D" w:rsidRDefault="00FD49CF" w:rsidP="00FD49CF">
      <w:pPr>
        <w:ind w:left="720"/>
        <w:rPr>
          <w:sz w:val="20"/>
        </w:rPr>
      </w:pPr>
      <w:r w:rsidRPr="0021733D">
        <w:rPr>
          <w:sz w:val="20"/>
        </w:rPr>
        <w:t>NOTE</w:t>
      </w:r>
      <w:r w:rsidR="00CE7818">
        <w:rPr>
          <w:sz w:val="20"/>
        </w:rPr>
        <w:t xml:space="preserve"> </w:t>
      </w:r>
      <w:r w:rsidR="00C77AEC">
        <w:rPr>
          <w:sz w:val="20"/>
        </w:rPr>
        <w:t>1</w:t>
      </w:r>
      <w:r w:rsidRPr="0021733D">
        <w:rPr>
          <w:sz w:val="20"/>
        </w:rPr>
        <w:t xml:space="preserve">—Packet numbers for </w:t>
      </w:r>
      <w:r w:rsidR="005C5819">
        <w:rPr>
          <w:sz w:val="20"/>
        </w:rPr>
        <w:t xml:space="preserve">consecutive </w:t>
      </w:r>
      <w:r w:rsidRPr="0021733D">
        <w:rPr>
          <w:sz w:val="20"/>
        </w:rPr>
        <w:t>fragments</w:t>
      </w:r>
      <w:r w:rsidR="005C5819">
        <w:rPr>
          <w:sz w:val="20"/>
        </w:rPr>
        <w:t xml:space="preserve"> of an MSDU or MMPDU</w:t>
      </w:r>
      <w:r w:rsidRPr="0021733D">
        <w:rPr>
          <w:sz w:val="20"/>
        </w:rPr>
        <w:t xml:space="preserve"> in an RSNA are required to be consecutive (see 12.5.3.3.2 (PN processing) and 12.5.5.3.2 (PN processing)).</w:t>
      </w:r>
    </w:p>
    <w:p w14:paraId="4DC0B303" w14:textId="78DA45CA" w:rsidR="00FD49CF" w:rsidRDefault="00FD49CF" w:rsidP="00FD49CF"/>
    <w:p w14:paraId="68B45C94" w14:textId="3DA95AEC" w:rsidR="00E67B54" w:rsidRDefault="00E67B54" w:rsidP="00FD49CF">
      <w:r w:rsidRPr="00E67B54">
        <w:t>At 2137.41, change “NOTE” to “NOTE 2”.</w:t>
      </w:r>
    </w:p>
    <w:p w14:paraId="0B07AF67" w14:textId="77777777" w:rsidR="00E67B54" w:rsidRDefault="00E67B54" w:rsidP="00FD49CF"/>
    <w:p w14:paraId="74A06190" w14:textId="6CBF5C90" w:rsidR="00FD49CF" w:rsidRDefault="00FD49CF" w:rsidP="00FD49CF">
      <w:r>
        <w:t xml:space="preserve">In </w:t>
      </w:r>
      <w:r w:rsidRPr="00E46B92">
        <w:t>10.5 MSDU</w:t>
      </w:r>
      <w:r w:rsidR="00E67B54">
        <w:t>, A-MSDU</w:t>
      </w:r>
      <w:r w:rsidRPr="00E46B92">
        <w:t xml:space="preserve"> and MMPDU defragmentation</w:t>
      </w:r>
      <w:r>
        <w:t xml:space="preserve"> 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2D0BADA7" w:rsidR="00FD49CF" w:rsidRDefault="00FD49CF" w:rsidP="00FD49CF">
      <w:pPr>
        <w:ind w:left="720"/>
        <w:rPr>
          <w:sz w:val="20"/>
        </w:rPr>
      </w:pPr>
      <w:r w:rsidRPr="0021733D">
        <w:rPr>
          <w:sz w:val="20"/>
        </w:rPr>
        <w:t>NOTE</w:t>
      </w:r>
      <w:r w:rsidR="00F2186B">
        <w:rPr>
          <w:sz w:val="20"/>
        </w:rPr>
        <w:t xml:space="preserve"> 1</w:t>
      </w:r>
      <w:r w:rsidRPr="0021733D">
        <w:rPr>
          <w:sz w:val="20"/>
        </w:rPr>
        <w:t xml:space="preserve">—Packet numbers for </w:t>
      </w:r>
      <w:r w:rsidR="005C5819">
        <w:rPr>
          <w:sz w:val="20"/>
        </w:rPr>
        <w:t>consecutive</w:t>
      </w:r>
      <w:r w:rsidR="005C5819" w:rsidRPr="0021733D">
        <w:rPr>
          <w:sz w:val="20"/>
        </w:rPr>
        <w:t xml:space="preserve"> </w:t>
      </w:r>
      <w:r w:rsidRPr="0021733D">
        <w:rPr>
          <w:sz w:val="20"/>
        </w:rPr>
        <w:t>fragments</w:t>
      </w:r>
      <w:r w:rsidR="005C5819">
        <w:rPr>
          <w:sz w:val="20"/>
        </w:rPr>
        <w:t xml:space="preserve"> of an MSDU or MMPDU</w:t>
      </w:r>
      <w:r w:rsidRPr="0021733D">
        <w:rPr>
          <w:sz w:val="20"/>
        </w:rPr>
        <w:t xml:space="preserve"> in an RSNA are required to be consecutive (see 12.5.3.4.4 (PN and replay detection) and 12.5.5.4.4 (PN and replay detection) under d).</w:t>
      </w:r>
    </w:p>
    <w:p w14:paraId="42469D82" w14:textId="3450690A" w:rsidR="00F2186B" w:rsidRDefault="00F2186B" w:rsidP="00F2186B">
      <w:pPr>
        <w:ind w:left="720"/>
      </w:pPr>
      <w:r w:rsidRPr="0021733D">
        <w:rPr>
          <w:sz w:val="20"/>
        </w:rPr>
        <w:lastRenderedPageBreak/>
        <w:t>NOTE</w:t>
      </w:r>
      <w:r>
        <w:rPr>
          <w:sz w:val="20"/>
        </w:rPr>
        <w:t xml:space="preserve"> 2</w:t>
      </w:r>
      <w:r w:rsidRPr="0021733D">
        <w:rPr>
          <w:sz w:val="20"/>
        </w:rPr>
        <w:t>—</w:t>
      </w:r>
      <w:r>
        <w:rPr>
          <w:sz w:val="20"/>
        </w:rPr>
        <w:t>All the f</w:t>
      </w:r>
      <w:r w:rsidRPr="0021733D">
        <w:rPr>
          <w:sz w:val="20"/>
        </w:rPr>
        <w:t>ragments</w:t>
      </w:r>
      <w:r>
        <w:rPr>
          <w:sz w:val="20"/>
        </w:rPr>
        <w:t xml:space="preserve"> of an MSDU or A-MSDU are required to have the same indication of whether they are fragments of an MSDU or of an A-MSDU (see 26.3.3.1)</w:t>
      </w:r>
      <w:r w:rsidRPr="0021733D">
        <w:rPr>
          <w:sz w:val="20"/>
        </w:rPr>
        <w:t>.</w:t>
      </w:r>
    </w:p>
    <w:p w14:paraId="687FD242" w14:textId="77777777" w:rsidR="00F2186B" w:rsidRPr="0021733D" w:rsidRDefault="00F2186B" w:rsidP="00FD49CF">
      <w:pPr>
        <w:ind w:left="720"/>
        <w:rPr>
          <w:sz w:val="20"/>
        </w:rPr>
      </w:pPr>
    </w:p>
    <w:p w14:paraId="0A2DB843" w14:textId="45FC75FA" w:rsidR="00E67B54" w:rsidRDefault="00E67B54" w:rsidP="00F2186B">
      <w:pPr>
        <w:pStyle w:val="ListParagraph"/>
        <w:ind w:left="0"/>
      </w:pPr>
      <w:r>
        <w:t>At 2138.26, change “NOTE” to “NOTE 3”.</w:t>
      </w:r>
    </w:p>
    <w:p w14:paraId="0146CB38" w14:textId="77777777" w:rsidR="00E67B54" w:rsidRDefault="00E67B54" w:rsidP="00F2186B">
      <w:pPr>
        <w:pStyle w:val="ListParagraph"/>
        <w:ind w:left="0"/>
      </w:pPr>
    </w:p>
    <w:p w14:paraId="5BC4EE45" w14:textId="04BCBD5D" w:rsidR="00F2186B" w:rsidRPr="00D27416" w:rsidRDefault="00F2186B" w:rsidP="00F2186B">
      <w:pPr>
        <w:pStyle w:val="ListParagraph"/>
        <w:ind w:left="0"/>
        <w:rPr>
          <w:u w:val="single"/>
        </w:rPr>
      </w:pPr>
      <w:r>
        <w:t>Change 26.3.3.1</w:t>
      </w:r>
      <w:r w:rsidRPr="00F2186B">
        <w:t xml:space="preserve"> General</w:t>
      </w:r>
      <w:r>
        <w:t xml:space="preserve"> (under </w:t>
      </w:r>
      <w:r w:rsidRPr="00F2186B">
        <w:t>26.3.3 Dynamic defragmentation</w:t>
      </w:r>
      <w:r>
        <w:t>) as follows</w:t>
      </w:r>
      <w:r w:rsidR="00F06D7C">
        <w:t>, adding a bullet at the end of the existing list</w:t>
      </w:r>
      <w:r>
        <w:t>:</w:t>
      </w:r>
    </w:p>
    <w:p w14:paraId="2CF5B9CA" w14:textId="77777777" w:rsidR="00F2186B" w:rsidRDefault="00F2186B" w:rsidP="00F2186B">
      <w:pPr>
        <w:pStyle w:val="ListParagraph"/>
        <w:ind w:left="0"/>
      </w:pPr>
    </w:p>
    <w:p w14:paraId="69E5435C" w14:textId="77777777" w:rsidR="00F2186B" w:rsidRPr="007017A5" w:rsidRDefault="00F2186B" w:rsidP="00F2186B">
      <w:pPr>
        <w:pStyle w:val="ListParagraph"/>
      </w:pPr>
      <w:r w:rsidRPr="007017A5">
        <w:t>Defragmentation of dynamic fragments shall follow the rules defined in 10.5 (MSDU, A-MSDU, and</w:t>
      </w:r>
      <w:r>
        <w:t xml:space="preserve"> </w:t>
      </w:r>
      <w:r w:rsidRPr="007017A5">
        <w:t>MMPDU defragmentation) with the following exceptions:</w:t>
      </w:r>
    </w:p>
    <w:p w14:paraId="1B561D7B" w14:textId="77777777" w:rsidR="00F2186B" w:rsidRDefault="00F2186B" w:rsidP="00F2186B">
      <w:pPr>
        <w:pStyle w:val="ListParagraph"/>
      </w:pPr>
      <w:r w:rsidRPr="007017A5">
        <w:t>[…]</w:t>
      </w:r>
    </w:p>
    <w:p w14:paraId="51B5B13A" w14:textId="5D58F80D" w:rsidR="00F2186B" w:rsidRDefault="00F2186B" w:rsidP="00F2186B">
      <w:pPr>
        <w:pStyle w:val="ListParagraph"/>
        <w:rPr>
          <w:u w:val="single"/>
        </w:rPr>
      </w:pPr>
      <w:r w:rsidRPr="007017A5">
        <w:rPr>
          <w:u w:val="single"/>
        </w:rPr>
        <w:t xml:space="preserve">- The A-MSDU Present subfield of all </w:t>
      </w:r>
      <w:r>
        <w:rPr>
          <w:u w:val="single"/>
        </w:rPr>
        <w:t xml:space="preserve">QoS </w:t>
      </w:r>
      <w:r w:rsidRPr="007017A5">
        <w:rPr>
          <w:u w:val="single"/>
        </w:rPr>
        <w:t xml:space="preserve">Data frames containing fragments </w:t>
      </w:r>
      <w:r w:rsidR="00D9657F">
        <w:rPr>
          <w:u w:val="single"/>
        </w:rPr>
        <w:t>of a given MSDU</w:t>
      </w:r>
      <w:r w:rsidR="00B73C04">
        <w:rPr>
          <w:u w:val="single"/>
        </w:rPr>
        <w:t xml:space="preserve"> (not in an A-MSDU) or of a given</w:t>
      </w:r>
      <w:r w:rsidR="00D9657F">
        <w:rPr>
          <w:u w:val="single"/>
        </w:rPr>
        <w:t xml:space="preserve"> A-MSDU </w:t>
      </w:r>
      <w:r w:rsidRPr="007017A5">
        <w:rPr>
          <w:u w:val="single"/>
        </w:rPr>
        <w:t>shall be the same</w:t>
      </w:r>
      <w:r>
        <w:rPr>
          <w:u w:val="single"/>
        </w:rPr>
        <w:t>.</w:t>
      </w:r>
    </w:p>
    <w:p w14:paraId="6661FBD3" w14:textId="77777777" w:rsidR="00F2186B" w:rsidRDefault="00F2186B" w:rsidP="00F2186B">
      <w:pPr>
        <w:pStyle w:val="ListParagraph"/>
        <w:ind w:left="1440"/>
      </w:pPr>
    </w:p>
    <w:p w14:paraId="2A8C6517" w14:textId="4D99C718" w:rsidR="00A06E21" w:rsidRDefault="00A06E21" w:rsidP="005A06C5">
      <w:r>
        <w:t xml:space="preserve">Change </w:t>
      </w:r>
      <w:r w:rsidRPr="00A06E21">
        <w:t>12.6.14 RSNA key management in an infrastructure BSS</w:t>
      </w:r>
      <w:r>
        <w:t xml:space="preserve"> as follows:</w:t>
      </w:r>
    </w:p>
    <w:p w14:paraId="1F77B05F" w14:textId="1A3BC2EC" w:rsidR="00A06E21" w:rsidRDefault="00A06E21" w:rsidP="005A06C5"/>
    <w:p w14:paraId="0F9BA2A8" w14:textId="0875D501" w:rsidR="006F72EB" w:rsidRDefault="00A06E21" w:rsidP="00A06E21">
      <w:pPr>
        <w:ind w:left="720"/>
        <w:rPr>
          <w:u w:val="single"/>
        </w:rPr>
      </w:pPr>
      <w:r>
        <w:t xml:space="preserve">The Supplicant and Authenticator signal the completion of key management by utilizing the MLME-SETKEYS.request primitive to configure the agreed-upon temporal pairwise key into the IEEE 802.11 MAC and by calling the MLME-SETPROTECTION.request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2F1F63">
        <w:rPr>
          <w:u w:val="single"/>
        </w:rPr>
        <w:t xml:space="preserve"> shall be discarded at this point.  I</w:t>
      </w:r>
      <w:r w:rsidR="0036388F">
        <w:rPr>
          <w:u w:val="single"/>
        </w:rPr>
        <w:t xml:space="preserve">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xml:space="preserve"> shall be discarded</w:t>
      </w:r>
      <w:r w:rsidR="00E46B92">
        <w:rPr>
          <w:u w:val="single"/>
        </w:rPr>
        <w:t xml:space="preserve"> at this point</w:t>
      </w:r>
      <w:r w:rsidR="006F72EB">
        <w:rPr>
          <w:u w:val="single"/>
        </w:rPr>
        <w:t>.</w:t>
      </w:r>
    </w:p>
    <w:p w14:paraId="2BA18806" w14:textId="77777777" w:rsidR="00F2186B" w:rsidRDefault="00F2186B" w:rsidP="006F72EB"/>
    <w:p w14:paraId="3E544529" w14:textId="617DA14A"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2B794D59"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w:t>
      </w:r>
      <w:r w:rsidR="00D43135">
        <w:rPr>
          <w:u w:val="single"/>
        </w:rPr>
        <w:t>.</w:t>
      </w:r>
      <w:r>
        <w:rPr>
          <w:u w:val="single"/>
        </w:rPr>
        <w:t xml:space="preserve"> </w:t>
      </w:r>
      <w:r w:rsidR="00D43135">
        <w:rPr>
          <w:u w:val="single"/>
        </w:rPr>
        <w:t xml:space="preserve"> I</w:t>
      </w:r>
      <w:r>
        <w:rPr>
          <w:u w:val="single"/>
        </w:rPr>
        <w:t xml:space="preserve">f management frame protection is in use, </w:t>
      </w:r>
      <w:r w:rsidR="00D43135">
        <w:rPr>
          <w:u w:val="single"/>
        </w:rPr>
        <w:t xml:space="preserve">the same Key ID shall be used for all fragments of a given </w:t>
      </w:r>
      <w:r>
        <w:rPr>
          <w:u w:val="single"/>
        </w:rPr>
        <w:t>MMPDU.</w:t>
      </w:r>
    </w:p>
    <w:p w14:paraId="1EFAFFB6" w14:textId="4430E7A0" w:rsidR="006F72EB" w:rsidRDefault="006F72EB" w:rsidP="006F72EB">
      <w:pPr>
        <w:ind w:left="720"/>
        <w:rPr>
          <w:u w:val="single"/>
        </w:rPr>
      </w:pPr>
    </w:p>
    <w:p w14:paraId="692D15C0" w14:textId="6D8AD1CE" w:rsidR="00E20401" w:rsidRDefault="009E135A" w:rsidP="006F72EB">
      <w:r>
        <w:t xml:space="preserve">The following change applies to CID 1956.  </w:t>
      </w:r>
      <w:r w:rsidR="00E20401">
        <w:t xml:space="preserve">Change </w:t>
      </w:r>
      <w:r w:rsidR="00E20401" w:rsidRPr="00E20401">
        <w:t>12.6.9 RSN management of the IEEE 802.1X Controlled Port</w:t>
      </w:r>
      <w:r w:rsidR="00E20401">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When the policy selection process chooses IEEE 802.1X authentication</w:t>
      </w:r>
      <w:r w:rsidRPr="000D728E">
        <w:rPr>
          <w:u w:val="single"/>
        </w:rPr>
        <w:t>In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4A76549A" w14:textId="58CF499C" w:rsidR="00155520" w:rsidRDefault="00155520" w:rsidP="00264A21">
      <w:pPr>
        <w:ind w:left="720"/>
      </w:pPr>
      <w:r>
        <w:t xml:space="preserve">[…] </w:t>
      </w:r>
    </w:p>
    <w:p w14:paraId="2347C369" w14:textId="77777777" w:rsidR="00155520" w:rsidRDefault="00155520" w:rsidP="00264A21">
      <w:pPr>
        <w:ind w:left="720"/>
      </w:pPr>
    </w:p>
    <w:p w14:paraId="6C9657B9" w14:textId="4F06945B" w:rsidR="00264A21" w:rsidRDefault="00264A21" w:rsidP="00264A21">
      <w:pPr>
        <w:ind w:left="720"/>
      </w:pPr>
      <w:r>
        <w:t>This standard assumes each Controlled Port remains blocked until the IEEE 802.1X state variables portValid and keyDone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37648E8E" w:rsidR="0021733D" w:rsidRPr="0021733D" w:rsidRDefault="0021733D" w:rsidP="0021733D">
      <w:pPr>
        <w:ind w:left="720"/>
        <w:rPr>
          <w:sz w:val="20"/>
          <w:u w:val="single"/>
        </w:rPr>
      </w:pPr>
      <w:r w:rsidRPr="0021733D">
        <w:rPr>
          <w:sz w:val="20"/>
          <w:u w:val="single"/>
        </w:rPr>
        <w:lastRenderedPageBreak/>
        <w:t>NOTE</w:t>
      </w:r>
      <w:r w:rsidR="00173F57">
        <w:rPr>
          <w:sz w:val="20"/>
          <w:u w:val="single"/>
        </w:rPr>
        <w:t xml:space="preserve"> 1</w:t>
      </w:r>
      <w:r w:rsidRPr="0021733D">
        <w:rPr>
          <w:sz w:val="20"/>
          <w:u w:val="single"/>
        </w:rPr>
        <w:t>—This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only</w:t>
      </w:r>
      <w:r>
        <w:t xml:space="preserve"> after invocation of the MLME-SETPROTECTION.request primitive.</w:t>
      </w:r>
    </w:p>
    <w:p w14:paraId="1807DFD5" w14:textId="77CDA5AC" w:rsidR="00E20401" w:rsidRPr="0021733D" w:rsidRDefault="00E20401" w:rsidP="00E20401">
      <w:pPr>
        <w:ind w:left="720"/>
        <w:rPr>
          <w:sz w:val="20"/>
          <w:u w:val="single"/>
        </w:rPr>
      </w:pPr>
      <w:r w:rsidRPr="0021733D">
        <w:rPr>
          <w:sz w:val="20"/>
          <w:u w:val="single"/>
        </w:rPr>
        <w:t>NOTE</w:t>
      </w:r>
      <w:r w:rsidR="00173F57">
        <w:rPr>
          <w:sz w:val="20"/>
          <w:u w:val="single"/>
        </w:rPr>
        <w:t xml:space="preserve"> 2</w:t>
      </w:r>
      <w:r w:rsidRPr="0021733D">
        <w:rPr>
          <w:sz w:val="20"/>
          <w:u w:val="single"/>
        </w:rPr>
        <w:t>—An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r w:rsidRPr="0021733D">
        <w:rPr>
          <w:sz w:val="20"/>
          <w:u w:val="single"/>
        </w:rPr>
        <w:t xml:space="preserve">he mechanism by which a Supplicant might accept and respond to this </w:t>
      </w:r>
      <w:r w:rsidR="00280E7E" w:rsidRPr="0021733D">
        <w:rPr>
          <w:sz w:val="20"/>
          <w:u w:val="single"/>
        </w:rPr>
        <w:t xml:space="preserve">retransmission of the third message </w:t>
      </w:r>
      <w:r w:rsidR="00D43135">
        <w:rPr>
          <w:sz w:val="20"/>
          <w:u w:val="single"/>
        </w:rPr>
        <w:t>even though</w:t>
      </w:r>
      <w:r w:rsidRPr="0021733D">
        <w:rPr>
          <w:sz w:val="20"/>
          <w:u w:val="single"/>
        </w:rPr>
        <w:t xml:space="preserve"> the </w:t>
      </w:r>
      <w:r w:rsidR="00156ACD" w:rsidRPr="0021733D">
        <w:rPr>
          <w:sz w:val="20"/>
          <w:u w:val="single"/>
        </w:rPr>
        <w:t xml:space="preserve">MLME-SETKEYS.request and </w:t>
      </w:r>
      <w:r w:rsidRPr="0021733D">
        <w:rPr>
          <w:sz w:val="20"/>
          <w:u w:val="single"/>
        </w:rPr>
        <w:t>MLME-SETPROTECTION.request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p>
    <w:p w14:paraId="643F74E5" w14:textId="1CC5C51E" w:rsidR="00E20401" w:rsidRDefault="00E20401" w:rsidP="006F72EB"/>
    <w:p w14:paraId="6A27E145" w14:textId="4EDF2E4B" w:rsidR="00264A21" w:rsidRDefault="00264A21" w:rsidP="00264A21">
      <w:pPr>
        <w:ind w:left="720"/>
      </w:pPr>
      <w:r>
        <w:t>This standard assumes that IEEE Std 802.1X-2010 does not block the Controlled Port when authentication is triggered through reauthentication. During IEEE 802.1X reauthentication, an existing RSNA can protect all MSDUs exchanged between the STAs. Blocking MSDUs is not required during reauthentication over an RSNA.</w:t>
      </w:r>
    </w:p>
    <w:p w14:paraId="62FFCE95" w14:textId="761A53F7" w:rsidR="00264A21" w:rsidRDefault="00264A21" w:rsidP="00264A21">
      <w:pPr>
        <w:ind w:left="720"/>
      </w:pPr>
    </w:p>
    <w:p w14:paraId="3EDE29EC" w14:textId="4EC4FE98" w:rsidR="00606122" w:rsidRPr="0021733D" w:rsidRDefault="00045325" w:rsidP="003A378E">
      <w:pPr>
        <w:ind w:left="720"/>
        <w:rPr>
          <w:sz w:val="20"/>
          <w:u w:val="single"/>
        </w:rPr>
      </w:pPr>
      <w:r w:rsidRPr="0021733D">
        <w:rPr>
          <w:sz w:val="20"/>
          <w:u w:val="single"/>
        </w:rPr>
        <w:t>NOTE</w:t>
      </w:r>
      <w:r w:rsidR="00173F57">
        <w:rPr>
          <w:sz w:val="20"/>
          <w:u w:val="single"/>
        </w:rPr>
        <w:t xml:space="preserve"> 3</w:t>
      </w:r>
      <w:r w:rsidRPr="0021733D">
        <w:rPr>
          <w:sz w:val="20"/>
          <w:u w:val="single"/>
        </w:rPr>
        <w:t>—</w:t>
      </w:r>
      <w:r w:rsidR="003A378E" w:rsidRPr="00264A21">
        <w:rPr>
          <w:u w:val="single"/>
        </w:rPr>
        <w:t xml:space="preserve">EAPOL PDUs </w:t>
      </w:r>
      <w:r w:rsidR="003A378E">
        <w:rPr>
          <w:u w:val="single"/>
        </w:rPr>
        <w:t xml:space="preserve">are not delivered </w:t>
      </w:r>
      <w:r w:rsidR="003A378E" w:rsidRPr="00264A21">
        <w:rPr>
          <w:u w:val="single"/>
        </w:rPr>
        <w:t xml:space="preserve">to the </w:t>
      </w:r>
      <w:r w:rsidR="003A378E">
        <w:rPr>
          <w:u w:val="single"/>
        </w:rPr>
        <w:t>Controlled Port (see IEEE Std 802.1X)</w:t>
      </w:r>
      <w:r w:rsidR="003A378E" w:rsidRPr="00264A21">
        <w:rPr>
          <w:u w:val="single"/>
        </w:rPr>
        <w:t>.</w:t>
      </w:r>
      <w:r w:rsidR="003A378E">
        <w:rPr>
          <w:sz w:val="20"/>
          <w:u w:val="single"/>
        </w:rPr>
        <w:t xml:space="preserve">  </w:t>
      </w:r>
      <w:r w:rsidR="003A378E">
        <w:rPr>
          <w:b/>
          <w:i/>
          <w:sz w:val="20"/>
          <w:u w:val="single"/>
        </w:rPr>
        <w:t xml:space="preserve">&lt;note to Editor: no para break here&gt; </w:t>
      </w:r>
      <w:r w:rsidRPr="0021733D">
        <w:rPr>
          <w:sz w:val="20"/>
          <w:u w:val="single"/>
        </w:rPr>
        <w:t>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r w:rsidR="0027528F">
        <w:rPr>
          <w:sz w:val="20"/>
          <w:u w:val="single"/>
        </w:rPr>
        <w:t xml:space="preserve">, and that a PCP does not forward </w:t>
      </w:r>
      <w:r w:rsidR="0027528F" w:rsidRPr="0021733D">
        <w:rPr>
          <w:sz w:val="20"/>
          <w:u w:val="single"/>
        </w:rPr>
        <w:t>EAPOL PDUs received from a STA to any other STA in the BSS or to a local higher layer other than the PAE</w:t>
      </w:r>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r>
        <w:t>i) Upon receipt of the MLME-SETPROTECTION.request(Rx_Tx) primitive, the MLME shall set the state of the STA to State 4.</w:t>
      </w:r>
    </w:p>
    <w:p w14:paraId="696B74A3" w14:textId="5EAA7BBC" w:rsidR="00156417" w:rsidRPr="0021733D" w:rsidRDefault="00156417" w:rsidP="00156417">
      <w:pPr>
        <w:ind w:left="720"/>
        <w:rPr>
          <w:sz w:val="24"/>
          <w:u w:val="single"/>
          <w:lang w:eastAsia="ja-JP"/>
        </w:rPr>
      </w:pPr>
      <w:r w:rsidRPr="0021733D">
        <w:rPr>
          <w:sz w:val="20"/>
          <w:u w:val="single"/>
        </w:rPr>
        <w:t>NOTE—Any MSDU fragments from the AP</w:t>
      </w:r>
      <w:r w:rsidR="00A72948">
        <w:rPr>
          <w:sz w:val="20"/>
          <w:u w:val="single"/>
        </w:rPr>
        <w:t xml:space="preserve"> or PCP</w:t>
      </w:r>
      <w:r w:rsidRPr="0021733D">
        <w:rPr>
          <w:sz w:val="20"/>
          <w:u w:val="single"/>
        </w:rPr>
        <w:t>, and if management frame protection is in use, any MMPDU fragments from the AP</w:t>
      </w:r>
      <w:r w:rsidR="00A72948">
        <w:rPr>
          <w:sz w:val="20"/>
          <w:u w:val="single"/>
        </w:rPr>
        <w:t xml:space="preserve"> or PCP</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p) If the ResultCode in the MLME-ASSOCIATE.response primitive is SUCCESS and RSNA establishment is required, and FILS authentication was not used, the SME shall attempt a 4-way handshake. Upon a successful completion of the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 the MLME shall set the state for the STA to State 4.</w:t>
      </w:r>
    </w:p>
    <w:p w14:paraId="39D0A411" w14:textId="7338A3AF" w:rsidR="00156417" w:rsidRDefault="00156417" w:rsidP="006F72EB">
      <w:pPr>
        <w:ind w:left="720"/>
      </w:pPr>
      <w:r w:rsidRPr="0021733D">
        <w:rPr>
          <w:sz w:val="20"/>
          <w:u w:val="single"/>
        </w:rPr>
        <w:t>NOT</w:t>
      </w:r>
      <w:r w:rsidR="00D52B6F" w:rsidRPr="0021733D">
        <w:rPr>
          <w:sz w:val="20"/>
          <w:u w:val="single"/>
        </w:rPr>
        <w:t>E</w:t>
      </w:r>
      <w:r w:rsidR="00583867">
        <w:rPr>
          <w:sz w:val="20"/>
          <w:u w:val="single"/>
        </w:rPr>
        <w:t xml:space="preserve"> 5</w:t>
      </w:r>
      <w:r w:rsidR="00D52B6F" w:rsidRPr="0021733D">
        <w:rPr>
          <w:sz w:val="20"/>
          <w:u w:val="single"/>
        </w:rPr>
        <w:t>—Any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3889A571" w:rsidR="006F72EB" w:rsidRDefault="004935D0" w:rsidP="006F72EB">
      <w:r>
        <w:t xml:space="preserve">Change </w:t>
      </w:r>
      <w:r w:rsidR="0038003F">
        <w:t>11.3.5.4</w:t>
      </w:r>
      <w:r w:rsidRPr="006F72EB">
        <w:t xml:space="preserve"> Non-AP and non-PCP STA </w:t>
      </w:r>
      <w:r w:rsidR="0038003F">
        <w:t>re</w:t>
      </w:r>
      <w:r w:rsidRPr="006F72EB">
        <w:t>association initiation procedures</w:t>
      </w:r>
      <w:r>
        <w:t xml:space="preserve"> as follows:</w:t>
      </w:r>
      <w:r w:rsidR="006F72EB" w:rsidRPr="006F72EB">
        <w:rPr>
          <w:highlight w:val="yellow"/>
        </w:rPr>
        <w:t xml:space="preserve"> </w:t>
      </w:r>
    </w:p>
    <w:p w14:paraId="5AD88393" w14:textId="77777777" w:rsidR="004935D0" w:rsidRDefault="004935D0" w:rsidP="004935D0"/>
    <w:p w14:paraId="3F3C8A00" w14:textId="15132342" w:rsidR="004935D0" w:rsidRDefault="0038003F" w:rsidP="004935D0">
      <w:pPr>
        <w:ind w:left="720"/>
      </w:pPr>
      <w:r>
        <w:lastRenderedPageBreak/>
        <w:t>h</w:t>
      </w:r>
      <w:r w:rsidR="004935D0">
        <w:t>) Upon receipt of the MLME-SETPROTECTION.request(Rx_Tx) primitive, the MLME shall set the state of the STA to State 4.</w:t>
      </w:r>
    </w:p>
    <w:p w14:paraId="1086F58C" w14:textId="139CBFD0" w:rsidR="004935D0" w:rsidRPr="0038003F" w:rsidRDefault="004935D0" w:rsidP="004935D0">
      <w:pPr>
        <w:ind w:left="720"/>
        <w:rPr>
          <w:b/>
          <w:i/>
          <w:sz w:val="24"/>
          <w:u w:val="single"/>
          <w:lang w:eastAsia="ja-JP"/>
        </w:rPr>
      </w:pPr>
      <w:r w:rsidRPr="0021733D">
        <w:rPr>
          <w:sz w:val="20"/>
          <w:u w:val="single"/>
        </w:rPr>
        <w:t>NOTE—</w:t>
      </w:r>
      <w:r w:rsidR="0038003F">
        <w:rPr>
          <w:sz w:val="20"/>
          <w:u w:val="single"/>
        </w:rPr>
        <w:t>Per item 7)</w:t>
      </w:r>
      <w:r w:rsidR="00E67B54">
        <w:rPr>
          <w:sz w:val="20"/>
          <w:u w:val="single"/>
        </w:rPr>
        <w:t xml:space="preserve"> in the first list under c)</w:t>
      </w:r>
      <w:r w:rsidR="0038003F">
        <w:rPr>
          <w:sz w:val="20"/>
          <w:u w:val="single"/>
        </w:rPr>
        <w:t xml:space="preserve"> a</w:t>
      </w:r>
      <w:r w:rsidRPr="0021733D">
        <w:rPr>
          <w:sz w:val="20"/>
          <w:u w:val="single"/>
        </w:rPr>
        <w:t>ny MSDU fragments</w:t>
      </w:r>
      <w:r w:rsidR="00A40D09">
        <w:rPr>
          <w:sz w:val="20"/>
          <w:u w:val="single"/>
        </w:rPr>
        <w:t xml:space="preserve"> in the reassembly buffers</w:t>
      </w:r>
      <w:r w:rsidRPr="0021733D">
        <w:rPr>
          <w:sz w:val="20"/>
          <w:u w:val="single"/>
        </w:rPr>
        <w:t xml:space="preserve">, and if management frame protection is in use, any MMPDU fragments, </w:t>
      </w:r>
      <w:r w:rsidR="0038003F">
        <w:rPr>
          <w:sz w:val="20"/>
          <w:u w:val="single"/>
        </w:rPr>
        <w:t xml:space="preserve">have been discarded.  This is important </w:t>
      </w:r>
      <w:r w:rsidRPr="0021733D">
        <w:rPr>
          <w:sz w:val="20"/>
          <w:u w:val="single"/>
        </w:rPr>
        <w:t>since fragments are required to be encrypted with the same key (see 10.5).</w:t>
      </w:r>
      <w:r w:rsidR="0038003F" w:rsidRPr="0038003F">
        <w:rPr>
          <w:sz w:val="20"/>
        </w:rPr>
        <w:t xml:space="preserve"> </w:t>
      </w:r>
      <w:r w:rsidR="0038003F" w:rsidRPr="0038003F">
        <w:rPr>
          <w:b/>
          <w:i/>
          <w:sz w:val="20"/>
        </w:rPr>
        <w:t xml:space="preserve">&lt;Editor: make sure c) </w:t>
      </w:r>
      <w:r w:rsidR="00E67B54">
        <w:rPr>
          <w:b/>
          <w:i/>
          <w:sz w:val="20"/>
        </w:rPr>
        <w:t xml:space="preserve">and </w:t>
      </w:r>
      <w:r w:rsidR="0038003F" w:rsidRPr="0038003F">
        <w:rPr>
          <w:b/>
          <w:i/>
          <w:sz w:val="20"/>
        </w:rPr>
        <w:t>7) are xrefs that will update if the items are renumbered&gt;</w:t>
      </w:r>
    </w:p>
    <w:p w14:paraId="2486C3A5" w14:textId="77777777" w:rsidR="004935D0" w:rsidRDefault="004935D0" w:rsidP="004935D0"/>
    <w:p w14:paraId="610C44DD" w14:textId="564489B3" w:rsidR="004935D0" w:rsidRDefault="004935D0" w:rsidP="004935D0">
      <w:r>
        <w:t xml:space="preserve">Change </w:t>
      </w:r>
      <w:r w:rsidR="0038003F">
        <w:t>11.3.5.5</w:t>
      </w:r>
      <w:r w:rsidRPr="006F72EB">
        <w:t xml:space="preserve"> AP or PCP </w:t>
      </w:r>
      <w:r w:rsidR="0038003F">
        <w:t>re</w:t>
      </w:r>
      <w:r w:rsidRPr="006F72EB">
        <w:t>association receipt procedures</w:t>
      </w:r>
      <w:r>
        <w:t xml:space="preserve"> as follows:</w:t>
      </w:r>
    </w:p>
    <w:p w14:paraId="2EBACDC5" w14:textId="77777777" w:rsidR="004935D0" w:rsidRDefault="004935D0" w:rsidP="004935D0"/>
    <w:p w14:paraId="285B2AD6" w14:textId="7F774748" w:rsidR="0038003F" w:rsidRDefault="00E67B54" w:rsidP="0038003F">
      <w:pPr>
        <w:ind w:left="720"/>
      </w:pPr>
      <w:r>
        <w:t>q</w:t>
      </w:r>
      <w:r w:rsidR="0038003F">
        <w:t>) If the ResultCode in the MLME-REASSOCIATE.response primitive is SUCCESS and the CurrentAPAddress parameter in the MLME-REASSOCIATION.indication primitive is this AP’s or PCP’s MAC address (reassociation to the same AP or PCP), the AP or PCP shall match the non-AP STA’s treatment of the listed agreements and allocations as described in 11.3.5.4 (Non-AP and non-PCP STA reassociation initiation procedures) item c). The AP or PCP deletes or resets to initial values those items that the non-AP STA is required in 11.3.5.4 (Non-AP and non-PCP STA reassociation initiation procedures) item c) to delete or reset to initial values, and the AP or PCP does not modify the states, agreements and allocations that are listed as not affected by the reassociation procedure.</w:t>
      </w:r>
    </w:p>
    <w:p w14:paraId="110A2D7E" w14:textId="1DF68241" w:rsidR="0038003F" w:rsidRDefault="00E67B54" w:rsidP="0038003F">
      <w:pPr>
        <w:ind w:left="720"/>
      </w:pPr>
      <w:r>
        <w:t>r</w:t>
      </w:r>
      <w:r w:rsidR="0038003F">
        <w:t>) If the ResultCode in the MLME-REASSOCIATE.response primitive is SUCCESS and the CurrentAPAddress parameter in the MLME-REASSOCIATION.indication primitive is not this AP’s or PCP’s MAC address (reassociation to a different AP or PCP), all the states, agreements and allocations pertaining to the associating STA and listed in both numbered lists in 11.3.5.4 (Non-AP and non-PCP STA reassociation initiation procedures) item c) are deleted or reset to initial values.</w:t>
      </w:r>
    </w:p>
    <w:p w14:paraId="4CD90AE8" w14:textId="14EFBD13" w:rsidR="004935D0" w:rsidRDefault="004935D0" w:rsidP="004935D0">
      <w:pPr>
        <w:ind w:left="720"/>
      </w:pPr>
      <w:r w:rsidRPr="0021733D">
        <w:rPr>
          <w:sz w:val="20"/>
          <w:u w:val="single"/>
        </w:rPr>
        <w:t>NOTE</w:t>
      </w:r>
      <w:r w:rsidR="001B3B32">
        <w:rPr>
          <w:sz w:val="20"/>
          <w:u w:val="single"/>
        </w:rPr>
        <w:t xml:space="preserve"> 4</w:t>
      </w:r>
      <w:r w:rsidRPr="0021733D">
        <w:rPr>
          <w:sz w:val="20"/>
          <w:u w:val="single"/>
        </w:rPr>
        <w:t>—</w:t>
      </w:r>
      <w:r w:rsidR="0038003F" w:rsidRPr="0038003F">
        <w:rPr>
          <w:sz w:val="20"/>
          <w:u w:val="single"/>
        </w:rPr>
        <w:t xml:space="preserve"> </w:t>
      </w:r>
      <w:r w:rsidR="0038003F">
        <w:rPr>
          <w:sz w:val="20"/>
          <w:u w:val="single"/>
        </w:rPr>
        <w:t xml:space="preserve">Per </w:t>
      </w:r>
      <w:r w:rsidR="0038003F" w:rsidRPr="0038003F">
        <w:rPr>
          <w:sz w:val="20"/>
          <w:u w:val="single"/>
        </w:rPr>
        <w:t>11.3.5.4 (Non-AP and non-PCP STA reassociation initiation procedures)</w:t>
      </w:r>
      <w:r w:rsidR="0038003F">
        <w:rPr>
          <w:sz w:val="20"/>
          <w:u w:val="single"/>
        </w:rPr>
        <w:t xml:space="preserve"> item 7)</w:t>
      </w:r>
      <w:r w:rsidR="00E67B54">
        <w:rPr>
          <w:sz w:val="20"/>
          <w:u w:val="single"/>
        </w:rPr>
        <w:t xml:space="preserve"> in the first list under c)</w:t>
      </w:r>
      <w:r w:rsidR="0038003F">
        <w:rPr>
          <w:sz w:val="20"/>
          <w:u w:val="single"/>
        </w:rPr>
        <w:t xml:space="preserve"> a</w:t>
      </w:r>
      <w:r w:rsidR="0038003F" w:rsidRPr="0021733D">
        <w:rPr>
          <w:sz w:val="20"/>
          <w:u w:val="single"/>
        </w:rPr>
        <w:t>ny MSDU fragments</w:t>
      </w:r>
      <w:r w:rsidR="00A40D09">
        <w:rPr>
          <w:sz w:val="20"/>
          <w:u w:val="single"/>
        </w:rPr>
        <w:t xml:space="preserve"> in the reassembly buffers</w:t>
      </w:r>
      <w:r w:rsidR="0038003F" w:rsidRPr="0021733D">
        <w:rPr>
          <w:sz w:val="20"/>
          <w:u w:val="single"/>
        </w:rPr>
        <w:t xml:space="preserve">, and if management frame protection is in use, any MMPDU fragments, </w:t>
      </w:r>
      <w:r w:rsidR="0038003F">
        <w:rPr>
          <w:sz w:val="20"/>
          <w:u w:val="single"/>
        </w:rPr>
        <w:t xml:space="preserve">have been discarded.  This is important </w:t>
      </w:r>
      <w:r w:rsidR="0038003F" w:rsidRPr="0021733D">
        <w:rPr>
          <w:sz w:val="20"/>
          <w:u w:val="single"/>
        </w:rPr>
        <w:t>since fragments are required to be encrypted with the same key (see 10.5).</w:t>
      </w:r>
      <w:r w:rsidR="0038003F" w:rsidRPr="0038003F">
        <w:rPr>
          <w:b/>
          <w:sz w:val="20"/>
        </w:rPr>
        <w:t xml:space="preserve"> </w:t>
      </w:r>
      <w:r w:rsidR="0038003F" w:rsidRPr="0038003F">
        <w:rPr>
          <w:b/>
          <w:i/>
          <w:sz w:val="20"/>
        </w:rPr>
        <w:t>&lt;Editor: make sure c)</w:t>
      </w:r>
      <w:r w:rsidR="00E67B54">
        <w:rPr>
          <w:b/>
          <w:i/>
          <w:sz w:val="20"/>
        </w:rPr>
        <w:t xml:space="preserve"> and</w:t>
      </w:r>
      <w:r w:rsidR="0038003F" w:rsidRPr="0038003F">
        <w:rPr>
          <w:b/>
          <w:i/>
          <w:sz w:val="20"/>
        </w:rPr>
        <w:t xml:space="preserve"> 7) are xrefs that will update if the items are renumbered&gt;</w:t>
      </w:r>
    </w:p>
    <w:p w14:paraId="43E2B659" w14:textId="4C3543FD" w:rsidR="006F0919" w:rsidRDefault="006F0919"/>
    <w:p w14:paraId="19D06275" w14:textId="3853BC35" w:rsidR="005842FD" w:rsidRDefault="006F0919" w:rsidP="00FD49CF">
      <w:pPr>
        <w:rPr>
          <w:u w:val="single"/>
        </w:rPr>
      </w:pPr>
      <w:r w:rsidRPr="006F0919">
        <w:rPr>
          <w:u w:val="single"/>
        </w:rPr>
        <w:t>Addendum: 12.6.19 Protection of robust Management frames</w:t>
      </w:r>
    </w:p>
    <w:p w14:paraId="7F681118" w14:textId="342F0D31" w:rsidR="006F0919" w:rsidRDefault="006F0919" w:rsidP="00FD49CF">
      <w:pPr>
        <w:rPr>
          <w:u w:val="single"/>
        </w:rPr>
      </w:pPr>
    </w:p>
    <w:p w14:paraId="1CDD8BB7" w14:textId="28290FF6" w:rsidR="00BB03E0" w:rsidRPr="00BB03E0" w:rsidRDefault="00BB03E0" w:rsidP="00FD49CF">
      <w:r w:rsidRPr="00BB03E0">
        <w:t>Note: the following discussion applies to 12.6.19 and subsequent changes are</w:t>
      </w:r>
      <w:r>
        <w:t xml:space="preserve"> after the following discussion section.</w:t>
      </w:r>
    </w:p>
    <w:p w14:paraId="36BAD6CF" w14:textId="77777777" w:rsidR="00BB03E0" w:rsidRDefault="00BB03E0" w:rsidP="00FD49CF">
      <w:pPr>
        <w:rPr>
          <w:u w:val="single"/>
        </w:rPr>
      </w:pPr>
    </w:p>
    <w:p w14:paraId="0C19D8CF" w14:textId="0C57BC40"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w:t>
      </w:r>
      <w:r>
        <w:lastRenderedPageBreak/>
        <w:t>advertised MFPC = 1, shall discard unprotected individually addressed robust Action frames received from any STA that advertised MFPC = 1, and shall discard unprotected individually addressed Disassociation and Deauthentication frames received from a STA that advertised MFPC = 1 after the PTK and IGTK have been installed. The receiver shall process unprotected individually addressed Disassociation and Deauthentication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Deauthentication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6090E4DD" w14:textId="077DC533" w:rsidR="006F0919" w:rsidRDefault="006F0919" w:rsidP="006F0919">
      <w:r>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(4) so DoS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(3) so DoS risk</w:t>
            </w:r>
            <w:r w:rsidR="007233A7">
              <w:rPr>
                <w:rFonts w:ascii="Calibri" w:hAnsi="Calibri" w:cs="Calibri"/>
                <w:color w:val="000000"/>
                <w:sz w:val="20"/>
                <w:szCs w:val="22"/>
                <w:lang w:eastAsia="ja-JP"/>
              </w:rPr>
              <w:t>?</w:t>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lastRenderedPageBreak/>
              <w:t xml:space="preserve">prot unicast deauth/disassoc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deauth/disassoc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71FCBB45" w:rsidR="00463B8A" w:rsidRDefault="00463B8A" w:rsidP="00463B8A">
      <w:pPr>
        <w:pStyle w:val="ListParagraph"/>
        <w:numPr>
          <w:ilvl w:val="0"/>
          <w:numId w:val="5"/>
        </w:numPr>
      </w:pPr>
      <w:r>
        <w:t xml:space="preserve">Accepting a unicast deauth/disassoc before the </w:t>
      </w:r>
      <w:r w:rsidR="00016787">
        <w:t>PTKSA is established</w:t>
      </w:r>
      <w:r>
        <w:t xml:space="preserve"> is </w:t>
      </w:r>
      <w:r w:rsidR="004265CD">
        <w:t>desirable</w:t>
      </w:r>
      <w:r>
        <w:t xml:space="preserve"> in case the association needs to be aborted, bu</w:t>
      </w:r>
      <w:r w:rsidR="00300063">
        <w:t>t present</w:t>
      </w:r>
      <w:r>
        <w:t>s obvious DoS implications</w:t>
      </w:r>
      <w:r w:rsidR="00A36442">
        <w:t>.  A timeout can be used to mitigate this issue</w:t>
      </w:r>
    </w:p>
    <w:p w14:paraId="64A90753" w14:textId="36E0DC52" w:rsidR="00463B8A" w:rsidRDefault="00463B8A" w:rsidP="00463B8A">
      <w:pPr>
        <w:pStyle w:val="ListParagraph"/>
        <w:numPr>
          <w:ilvl w:val="0"/>
          <w:numId w:val="5"/>
        </w:numPr>
      </w:pPr>
      <w:r>
        <w:t xml:space="preserve">Accepting an unprotected unicast deauth/disassoc after the </w:t>
      </w:r>
      <w:r w:rsidR="00016787">
        <w:t>PTKSA</w:t>
      </w:r>
      <w:r>
        <w:t xml:space="preserve"> is </w:t>
      </w:r>
      <w:r w:rsidR="00016787">
        <w:t>established</w:t>
      </w:r>
      <w:r>
        <w:t xml:space="preserve"> is necessary to allow for a peer reset, but needs to be checked using the SA Query procedures</w:t>
      </w:r>
    </w:p>
    <w:p w14:paraId="3D1FE7F8" w14:textId="2C05BBB7" w:rsidR="00463B8A" w:rsidRDefault="00300063" w:rsidP="00463B8A">
      <w:pPr>
        <w:pStyle w:val="ListParagraph"/>
        <w:numPr>
          <w:ilvl w:val="0"/>
          <w:numId w:val="5"/>
        </w:numPr>
      </w:pPr>
      <w:r>
        <w:t>Accepting a g</w:t>
      </w:r>
      <w:r w:rsidR="00463B8A">
        <w:t>roup-addressed deauth</w:t>
      </w:r>
      <w:r>
        <w:t xml:space="preserve">/disassoc, except when </w:t>
      </w:r>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DoS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lastRenderedPageBreak/>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t xml:space="preserve">MFP is used on </w:t>
      </w:r>
      <w:r w:rsidR="00710E9C">
        <w:t>a given</w:t>
      </w:r>
      <w:r>
        <w:t xml:space="preserve"> link if</w:t>
      </w:r>
      <w:r w:rsidR="004E77E6">
        <w:t xml:space="preserve"> both sides have MFPC</w:t>
      </w:r>
      <w:r>
        <w:t xml:space="preserve">=1, otherwise </w:t>
      </w:r>
      <w:r w:rsidR="00710E9C">
        <w:t xml:space="preserve">(except for group </w:t>
      </w:r>
      <w:r w:rsidR="002F0692">
        <w:t>tx</w:t>
      </w:r>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r w:rsidRPr="004E77E6">
        <w:t>tx/rx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deauth/disassoc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deauth/disassoc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EF3599"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A8C5596" w14:textId="1D0FBFEB" w:rsidR="00C724B9" w:rsidRPr="00436C78" w:rsidRDefault="00C724B9" w:rsidP="00C724B9">
            <w:pPr>
              <w:rPr>
                <w:rFonts w:ascii="Calibri" w:hAnsi="Calibri"/>
                <w:color w:val="000000"/>
                <w:sz w:val="20"/>
                <w:szCs w:val="22"/>
                <w:lang w:val="fr-FR" w:eastAsia="ja-JP"/>
              </w:rPr>
            </w:pPr>
            <w:r w:rsidRPr="00436C78">
              <w:rPr>
                <w:rFonts w:ascii="Calibri" w:hAnsi="Calibri"/>
                <w:color w:val="000000"/>
                <w:sz w:val="20"/>
                <w:szCs w:val="22"/>
                <w:lang w:val="fr-FR" w:eastAsia="ja-JP"/>
              </w:rPr>
              <w:t>tx (AP) / rx (non-AP)</w:t>
            </w:r>
          </w:p>
        </w:tc>
      </w:tr>
      <w:tr w:rsidR="00A9551F" w:rsidRPr="00EF3599"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r w:rsidRPr="00C724B9">
              <w:rPr>
                <w:rFonts w:ascii="Calibri" w:hAnsi="Calibri"/>
                <w:color w:val="000000"/>
                <w:sz w:val="20"/>
                <w:szCs w:val="22"/>
                <w:lang w:val="fr-FR" w:eastAsia="ja-JP"/>
              </w:rPr>
              <w:t>tx (AP) / rx (non-AP)</w:t>
            </w:r>
          </w:p>
        </w:tc>
      </w:tr>
      <w:tr w:rsidR="00A9551F" w:rsidRPr="00032C01"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843ED5A" w14:textId="4AB2EA59"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r w:rsidRPr="00032C01">
              <w:rPr>
                <w:rFonts w:ascii="Calibri" w:hAnsi="Calibri"/>
                <w:color w:val="000000"/>
                <w:sz w:val="20"/>
                <w:szCs w:val="22"/>
                <w:lang w:eastAsia="ja-JP"/>
              </w:rPr>
              <w:t xml:space="preserve"> / rx (non-AP)</w:t>
            </w:r>
            <w:r w:rsidR="00032C01" w:rsidRPr="00C724B9">
              <w:rPr>
                <w:rFonts w:ascii="Calibri" w:hAnsi="Calibri"/>
                <w:color w:val="000000"/>
                <w:sz w:val="20"/>
                <w:szCs w:val="22"/>
                <w:lang w:eastAsia="ja-JP"/>
              </w:rPr>
              <w:t xml:space="preserve"> </w:t>
            </w:r>
            <w:r w:rsidR="00032C01" w:rsidRPr="00032C01">
              <w:rPr>
                <w:rFonts w:ascii="Calibri" w:hAnsi="Calibri"/>
                <w:color w:val="000000"/>
                <w:sz w:val="20"/>
                <w:szCs w:val="22"/>
                <w:highlight w:val="lightGray"/>
                <w:lang w:eastAsia="ja-JP"/>
              </w:rPr>
              <w:t>(N/A because no MFP)</w:t>
            </w:r>
          </w:p>
        </w:tc>
      </w:tr>
      <w:tr w:rsidR="00A9551F" w:rsidRPr="00032C01"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(also if prot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r w:rsidR="00C724B9" w:rsidRPr="00C724B9">
              <w:rPr>
                <w:rFonts w:ascii="Calibri" w:hAnsi="Calibri"/>
                <w:color w:val="000000"/>
                <w:sz w:val="20"/>
                <w:szCs w:val="22"/>
                <w:lang w:eastAsia="ja-JP"/>
              </w:rPr>
              <w:t>no SAQ</w:t>
            </w:r>
          </w:p>
        </w:tc>
        <w:tc>
          <w:tcPr>
            <w:tcW w:w="2778" w:type="dxa"/>
            <w:shd w:val="clear" w:color="auto" w:fill="auto"/>
            <w:noWrap/>
            <w:vAlign w:val="bottom"/>
            <w:hideMark/>
          </w:tcPr>
          <w:p w14:paraId="0CE7AE17" w14:textId="0CA492B7"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r w:rsidR="00436C78" w:rsidRPr="00436C78">
              <w:rPr>
                <w:rFonts w:ascii="Calibri" w:hAnsi="Calibri"/>
                <w:color w:val="000000"/>
                <w:sz w:val="20"/>
                <w:szCs w:val="22"/>
                <w:lang w:eastAsia="ja-JP"/>
              </w:rPr>
              <w:t xml:space="preserve"> </w:t>
            </w:r>
            <w:r w:rsidRPr="00032C01">
              <w:rPr>
                <w:rFonts w:ascii="Calibri" w:hAnsi="Calibri"/>
                <w:color w:val="000000"/>
                <w:sz w:val="20"/>
                <w:szCs w:val="22"/>
                <w:lang w:eastAsia="ja-JP"/>
              </w:rPr>
              <w:t>/ rx (non-AP)</w:t>
            </w:r>
            <w:r w:rsidR="00032C01" w:rsidRPr="00032C01">
              <w:rPr>
                <w:rFonts w:ascii="Calibri" w:hAnsi="Calibri"/>
                <w:color w:val="000000"/>
                <w:sz w:val="20"/>
                <w:szCs w:val="22"/>
                <w:highlight w:val="lightGray"/>
                <w:lang w:eastAsia="ja-JP"/>
              </w:rPr>
              <w:t xml:space="preserve"> (N/A because no MFP)</w:t>
            </w:r>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r w:rsidRPr="00F76875">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3C4BD966" w14:textId="18BF6B5D" w:rsidR="009E135A" w:rsidRPr="009E135A" w:rsidRDefault="009E135A" w:rsidP="00644C0C">
      <w:r w:rsidRPr="009E135A">
        <w:t>This is the proposed changes for CID 2128:</w:t>
      </w:r>
    </w:p>
    <w:p w14:paraId="3E788754" w14:textId="77777777" w:rsidR="009E135A" w:rsidRDefault="009E135A" w:rsidP="00644C0C">
      <w:pPr>
        <w:rPr>
          <w:u w:val="single"/>
        </w:rPr>
      </w:pPr>
    </w:p>
    <w:p w14:paraId="17853F42" w14:textId="3D0AD9F3" w:rsidR="009E135A" w:rsidRPr="00776CDE" w:rsidRDefault="009E135A" w:rsidP="009E135A">
      <w:r w:rsidRPr="00DC2BB7">
        <w:rPr>
          <w:u w:val="single"/>
        </w:rPr>
        <w:t>Proposed changes</w:t>
      </w:r>
      <w:r>
        <w:rPr>
          <w:u w:val="single"/>
        </w:rPr>
        <w:t xml:space="preserve"> (</w:t>
      </w:r>
      <w:r w:rsidR="005C5819">
        <w:rPr>
          <w:u w:val="single"/>
        </w:rPr>
        <w:t>n</w:t>
      </w:r>
      <w:r w:rsidRPr="009E135A">
        <w:rPr>
          <w:u w:val="single"/>
        </w:rPr>
        <w:t xml:space="preserve">ote to Editor: </w:t>
      </w:r>
      <w:r>
        <w:rPr>
          <w:u w:val="single"/>
        </w:rPr>
        <w:t>these changes are for</w:t>
      </w:r>
      <w:r w:rsidRPr="009E135A">
        <w:rPr>
          <w:u w:val="single"/>
        </w:rPr>
        <w:t xml:space="preserve"> CID 2128</w:t>
      </w:r>
      <w:r>
        <w:rPr>
          <w:u w:val="single"/>
        </w:rPr>
        <w:t>)</w:t>
      </w:r>
      <w:r w:rsidRPr="00DC2BB7">
        <w:rPr>
          <w:u w:val="single"/>
        </w:rPr>
        <w:t>:</w:t>
      </w:r>
    </w:p>
    <w:p w14:paraId="5E68213D" w14:textId="77777777" w:rsidR="00644C0C" w:rsidRDefault="00644C0C" w:rsidP="00644C0C"/>
    <w:p w14:paraId="519E20EF" w14:textId="37778AB9" w:rsidR="00416E88" w:rsidRDefault="00416E88" w:rsidP="00ED6A2E">
      <w:r>
        <w:t xml:space="preserve">Change </w:t>
      </w:r>
      <w:r w:rsidRPr="00416E88">
        <w:t>9.4.2.24.2 Cipher suites</w:t>
      </w:r>
      <w:r>
        <w:t xml:space="preserve"> as follows:</w:t>
      </w:r>
    </w:p>
    <w:p w14:paraId="0011BA98" w14:textId="2DB2D8CF" w:rsidR="00416E88" w:rsidRDefault="00416E88" w:rsidP="00ED6A2E"/>
    <w:p w14:paraId="5448A803" w14:textId="3F8203AA" w:rsidR="00416E88" w:rsidRDefault="00416E88" w:rsidP="00416E88">
      <w:pPr>
        <w:ind w:left="720"/>
      </w:pPr>
      <w:r>
        <w:t>The Group Data Cipher Suite field contains the cipher suite selector used in the BSS to protect group addressed Data frames.</w:t>
      </w:r>
    </w:p>
    <w:p w14:paraId="79D373A9" w14:textId="77777777" w:rsidR="00416E88" w:rsidRDefault="00416E88" w:rsidP="00416E88">
      <w:pPr>
        <w:ind w:left="720"/>
      </w:pPr>
    </w:p>
    <w:p w14:paraId="14B0F9FC" w14:textId="118EACCC" w:rsidR="00416E88" w:rsidRDefault="00416E88" w:rsidP="00416E88">
      <w:pPr>
        <w:ind w:left="720"/>
      </w:pPr>
      <w:r>
        <w:t>The Pairwise Cipher Suite Count field indicates the number of pairwise cipher suite selectors that are contained in the Pairwise Cipher Suite List field. The value 0 is reserved.</w:t>
      </w:r>
    </w:p>
    <w:p w14:paraId="2987BFB7" w14:textId="77777777" w:rsidR="00416E88" w:rsidRDefault="00416E88" w:rsidP="00416E88">
      <w:pPr>
        <w:ind w:left="720"/>
      </w:pPr>
    </w:p>
    <w:p w14:paraId="298D5712" w14:textId="276B4290" w:rsidR="00416E88" w:rsidRDefault="00416E88" w:rsidP="00416E88">
      <w:pPr>
        <w:ind w:left="720"/>
      </w:pPr>
      <w:r>
        <w:t>The Pairwise Cipher Suite List field contains a series of cipher suite selectors that indicate the pairwise cipher suites used in the BSS to protect individually addressed Data frames</w:t>
      </w:r>
      <w:r w:rsidR="00A76A09">
        <w:rPr>
          <w:u w:val="single"/>
        </w:rPr>
        <w:t xml:space="preserve"> and, when management frame protection is negotiated, to protect individually addressed robust Management frames</w:t>
      </w:r>
      <w:r>
        <w:t>.</w:t>
      </w:r>
    </w:p>
    <w:p w14:paraId="3242E8FE" w14:textId="77777777" w:rsidR="00416E88" w:rsidRDefault="00416E88" w:rsidP="00416E88">
      <w:pPr>
        <w:ind w:left="720"/>
      </w:pPr>
    </w:p>
    <w:p w14:paraId="092C562C" w14:textId="6BABF8A7" w:rsidR="00416E88" w:rsidRDefault="00416E88" w:rsidP="00416E88">
      <w:pPr>
        <w:ind w:left="720"/>
      </w:pPr>
      <w:r>
        <w:t xml:space="preserve">The Group Management Cipher Suite field contains the cipher suite selector used </w:t>
      </w:r>
      <w:r w:rsidRPr="00A76A09">
        <w:rPr>
          <w:strike/>
          <w:highlight w:val="cyan"/>
        </w:rPr>
        <w:t>by</w:t>
      </w:r>
      <w:r w:rsidR="00A76A09" w:rsidRPr="00A76A09">
        <w:rPr>
          <w:highlight w:val="cyan"/>
          <w:u w:val="single"/>
        </w:rPr>
        <w:t>in</w:t>
      </w:r>
      <w:r>
        <w:t xml:space="preserve"> the BSS to protect group addressed robust Management frames. </w:t>
      </w:r>
    </w:p>
    <w:p w14:paraId="465AD43D" w14:textId="77777777" w:rsidR="00416E88" w:rsidRDefault="00416E88" w:rsidP="00416E88">
      <w:pPr>
        <w:ind w:left="720"/>
      </w:pPr>
    </w:p>
    <w:p w14:paraId="4134371E" w14:textId="4FDEC974" w:rsidR="00416E88" w:rsidRDefault="00416E88" w:rsidP="00A76A09">
      <w:pPr>
        <w:ind w:left="720"/>
      </w:pPr>
      <w:r w:rsidRPr="00A76A09">
        <w:rPr>
          <w:strike/>
        </w:rPr>
        <w:t>When management frame protection is negotiated, the negotiated pairwise cipher suite is used to protect individually addressed robust Management frames, and the group management cipher suite is used to protect group addressed robust Management frames.</w:t>
      </w:r>
      <w:r w:rsidR="00A76A09" w:rsidRPr="00A76A09">
        <w:rPr>
          <w:strike/>
        </w:rPr>
        <w:t xml:space="preserve"> </w:t>
      </w:r>
      <w:r>
        <w:t>Use of BIP-CMAC-128, BIP-GMAC-128, BIP-GMAC-256, and BIP-CMAC-256 is not valid as a data cipher suite.</w:t>
      </w:r>
    </w:p>
    <w:p w14:paraId="1C2406C1" w14:textId="77777777" w:rsidR="00416E88" w:rsidRDefault="00416E88" w:rsidP="00ED6A2E"/>
    <w:p w14:paraId="0B94761C" w14:textId="5C6F43CD" w:rsidR="000176DB" w:rsidRDefault="000176DB" w:rsidP="00ED6A2E">
      <w:r>
        <w:t xml:space="preserve">Change </w:t>
      </w:r>
      <w:r w:rsidRPr="000176DB">
        <w:t>12.5.4.5 BIP transmission</w:t>
      </w:r>
      <w:r>
        <w:t xml:space="preserve"> as follows:</w:t>
      </w:r>
    </w:p>
    <w:p w14:paraId="3388E5B7" w14:textId="1CCF34EC" w:rsidR="000176DB" w:rsidRDefault="000176DB" w:rsidP="00ED6A2E"/>
    <w:p w14:paraId="1A10F0D9" w14:textId="2307C40E" w:rsidR="000176DB" w:rsidRPr="000176DB" w:rsidRDefault="000176DB" w:rsidP="000176DB">
      <w:pPr>
        <w:ind w:left="720"/>
        <w:rPr>
          <w:u w:val="single"/>
        </w:rPr>
      </w:pPr>
      <w:r>
        <w:rPr>
          <w:u w:val="single"/>
        </w:rPr>
        <w:t xml:space="preserve">A </w:t>
      </w:r>
      <w:r w:rsidRPr="000176DB">
        <w:rPr>
          <w:u w:val="single"/>
        </w:rPr>
        <w:t>protected group addressed robust Management frame shall be protected using the group management cipher suite (see 9.4.2.24.2 (Cipher suites)).</w:t>
      </w:r>
    </w:p>
    <w:p w14:paraId="1643DEDB" w14:textId="77777777" w:rsidR="000176DB" w:rsidRDefault="000176DB" w:rsidP="000176DB">
      <w:pPr>
        <w:ind w:left="720"/>
        <w:rPr>
          <w:sz w:val="20"/>
          <w:u w:val="single"/>
        </w:rPr>
      </w:pPr>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p>
    <w:p w14:paraId="409EF3E2" w14:textId="77777777" w:rsidR="000176DB" w:rsidRDefault="000176DB" w:rsidP="000176DB">
      <w:pPr>
        <w:ind w:left="720"/>
      </w:pPr>
    </w:p>
    <w:p w14:paraId="542E0279" w14:textId="4A542B60" w:rsidR="000176DB" w:rsidRDefault="000176DB" w:rsidP="000176DB">
      <w:pPr>
        <w:ind w:left="720"/>
      </w:pPr>
      <w:r>
        <w:t>Once a STA transmits a protected Beacon frame using a new BIGTK, the STA shall not transmit protected Beacon frames using the previously BIGTK. Once a STA transmits a protected group addressed robust Management frame using a new IGTK, the STA should not transmit protected group addressed robust Management frames using the previously used IGTK.</w:t>
      </w:r>
    </w:p>
    <w:p w14:paraId="3B2C2937" w14:textId="77777777" w:rsidR="000176DB" w:rsidRDefault="000176DB" w:rsidP="00ED6A2E"/>
    <w:p w14:paraId="532A30CD" w14:textId="1175BEB4" w:rsidR="00ED6A2E" w:rsidRDefault="009E135A" w:rsidP="00ED6A2E">
      <w:r>
        <w:t xml:space="preserve">The following change applies to CID 1956 and 1957.  </w:t>
      </w:r>
      <w:r w:rsidR="00ED6A2E">
        <w:t>Change 12.6.19 Protection of robust Management frames as follows:</w:t>
      </w:r>
    </w:p>
    <w:p w14:paraId="51F34EC3" w14:textId="77777777" w:rsidR="00ED6A2E" w:rsidRDefault="00ED6A2E" w:rsidP="00ED6A2E"/>
    <w:p w14:paraId="410E36DB" w14:textId="33EE18AA" w:rsidR="00ED6A2E" w:rsidRDefault="00ED6A2E" w:rsidP="00190624">
      <w:pPr>
        <w:ind w:left="720"/>
      </w:pPr>
      <w:r>
        <w:t xml:space="preserve">This subclause defines rules that shall be followed by STAs that </w:t>
      </w:r>
      <w:r w:rsidRPr="0096203A">
        <w:t xml:space="preserve">implement Management Frame protection and </w:t>
      </w:r>
      <w:r>
        <w:t>have dot11RSNAActivated equal to true.</w:t>
      </w:r>
    </w:p>
    <w:p w14:paraId="5034F8CA" w14:textId="48C40926" w:rsidR="00ED6A2E" w:rsidRPr="004136D0" w:rsidRDefault="0025444D" w:rsidP="00190624">
      <w:pPr>
        <w:ind w:left="720"/>
        <w:rPr>
          <w:sz w:val="20"/>
          <w:u w:val="single"/>
        </w:rPr>
      </w:pPr>
      <w:r w:rsidRPr="00FB6E4A">
        <w:rPr>
          <w:sz w:val="20"/>
          <w:u w:val="single"/>
        </w:rPr>
        <w:t xml:space="preserve">NOTE—Management frame protection is negotiated for </w:t>
      </w:r>
      <w:r w:rsidR="001257EE" w:rsidRPr="00FB6E4A">
        <w:rPr>
          <w:sz w:val="20"/>
          <w:u w:val="single"/>
        </w:rPr>
        <w:t xml:space="preserve">a </w:t>
      </w:r>
      <w:r w:rsidRPr="00FB6E4A">
        <w:rPr>
          <w:sz w:val="20"/>
          <w:u w:val="single"/>
        </w:rPr>
        <w:t>link if both STAs set the MFPC bit to 1 (see 12.6.3 (RSNA policy selection in an infrastructure BSS)</w:t>
      </w:r>
      <w:r w:rsidR="00714A1D">
        <w:rPr>
          <w:sz w:val="20"/>
          <w:u w:val="single"/>
        </w:rPr>
        <w:t>,</w:t>
      </w:r>
      <w:r w:rsidRPr="00FB6E4A">
        <w:rPr>
          <w:sz w:val="20"/>
          <w:u w:val="single"/>
        </w:rPr>
        <w:t xml:space="preserve"> 12.6.5 (RSNA policy selection in an IBSS)</w:t>
      </w:r>
      <w:r w:rsidR="00A20289" w:rsidRPr="00A20289">
        <w:rPr>
          <w:sz w:val="20"/>
          <w:u w:val="single"/>
        </w:rPr>
        <w:t xml:space="preserve"> </w:t>
      </w:r>
      <w:r w:rsidR="00A20289">
        <w:rPr>
          <w:sz w:val="20"/>
          <w:u w:val="single"/>
        </w:rPr>
        <w:t>,</w:t>
      </w:r>
      <w:r w:rsidR="00A20289" w:rsidRPr="00FB6E4A">
        <w:rPr>
          <w:sz w:val="20"/>
          <w:u w:val="single"/>
        </w:rPr>
        <w:t xml:space="preserve"> 12.6.</w:t>
      </w:r>
      <w:r w:rsidR="00A20289">
        <w:rPr>
          <w:sz w:val="20"/>
          <w:u w:val="single"/>
        </w:rPr>
        <w:t>7 (RSNA policy selection in an M</w:t>
      </w:r>
      <w:r w:rsidR="00A20289" w:rsidRPr="00FB6E4A">
        <w:rPr>
          <w:sz w:val="20"/>
          <w:u w:val="single"/>
        </w:rPr>
        <w:t>BSS)</w:t>
      </w:r>
      <w:r w:rsidR="00714A1D">
        <w:rPr>
          <w:sz w:val="20"/>
          <w:u w:val="single"/>
        </w:rPr>
        <w:t xml:space="preserve"> and </w:t>
      </w:r>
      <w:r w:rsidR="00714A1D" w:rsidRPr="009D3335">
        <w:rPr>
          <w:sz w:val="20"/>
          <w:u w:val="single"/>
        </w:rPr>
        <w:t>12.6.8 (RSNA policy selection in a PBSS)</w:t>
      </w:r>
      <w:r w:rsidRPr="00FB6E4A">
        <w:rPr>
          <w:sz w:val="20"/>
          <w:u w:val="single"/>
        </w:rPr>
        <w:t>)</w:t>
      </w:r>
      <w:r w:rsidRPr="004136D0">
        <w:rPr>
          <w:sz w:val="20"/>
          <w:u w:val="single"/>
        </w:rPr>
        <w:t>.</w:t>
      </w:r>
    </w:p>
    <w:p w14:paraId="3A24D44A" w14:textId="77777777" w:rsidR="0025444D" w:rsidRDefault="0025444D" w:rsidP="00190624">
      <w:pPr>
        <w:ind w:left="720"/>
      </w:pPr>
    </w:p>
    <w:p w14:paraId="69FBC333" w14:textId="15A294A3" w:rsidR="00ED6A2E" w:rsidRPr="00ED6A2E" w:rsidRDefault="00ED6A2E" w:rsidP="00190624">
      <w:pPr>
        <w:ind w:left="720"/>
        <w:rPr>
          <w:b/>
          <w:i/>
        </w:rPr>
      </w:pPr>
      <w:r w:rsidRPr="00ED6A2E">
        <w:rPr>
          <w:b/>
          <w:i/>
        </w:rPr>
        <w:t xml:space="preserve">&lt;delete </w:t>
      </w:r>
      <w:r w:rsidR="009323E1">
        <w:rPr>
          <w:b/>
          <w:i/>
        </w:rPr>
        <w:t>the next 8</w:t>
      </w:r>
      <w:r w:rsidRPr="00ED6A2E">
        <w:rPr>
          <w:b/>
          <w:i/>
        </w:rPr>
        <w:t xml:space="preserve"> paras</w:t>
      </w:r>
      <w:r w:rsidR="009323E1">
        <w:rPr>
          <w:b/>
          <w:i/>
        </w:rPr>
        <w:t xml:space="preserve"> and the NOTE (which is moved to </w:t>
      </w:r>
      <w:r w:rsidR="000176DB">
        <w:rPr>
          <w:b/>
          <w:i/>
        </w:rPr>
        <w:t>12.5.4.5</w:t>
      </w:r>
      <w:r w:rsidR="00F138DE">
        <w:rPr>
          <w:b/>
          <w:i/>
        </w:rPr>
        <w:t xml:space="preserve">, </w:t>
      </w:r>
      <w:r w:rsidR="000176DB">
        <w:rPr>
          <w:b/>
          <w:i/>
        </w:rPr>
        <w:t>above</w:t>
      </w:r>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1C08AED1" w:rsidR="00ED6A2E" w:rsidRPr="00ED6A2E" w:rsidRDefault="00A36442" w:rsidP="00190624">
      <w:pPr>
        <w:ind w:left="720"/>
        <w:rPr>
          <w:strike/>
        </w:rPr>
      </w:pPr>
      <w:r w:rsidRPr="00A36442">
        <w:rPr>
          <w:u w:val="single"/>
        </w:rPr>
        <w:t>NOTE—</w:t>
      </w:r>
      <w:r w:rsidR="00ED6A2E">
        <w:t xml:space="preserve">Management frame protection cannot be applied until the PTK and </w:t>
      </w:r>
      <w:r w:rsidR="0096203A" w:rsidRPr="00FE4162">
        <w:t xml:space="preserve">(except for a TDLS direct link) </w:t>
      </w:r>
      <w:r w:rsidR="00ED6A2E">
        <w:t>IGTK ha</w:t>
      </w:r>
      <w:r w:rsidR="00ED6A2E" w:rsidRPr="00ED6A2E">
        <w:rPr>
          <w:strike/>
        </w:rPr>
        <w:t>s</w:t>
      </w:r>
      <w:r w:rsidR="00ED6A2E" w:rsidRPr="00ED6A2E">
        <w:rPr>
          <w:u w:val="single"/>
        </w:rPr>
        <w:t>ve</w:t>
      </w:r>
      <w:r w:rsidR="00ED6A2E">
        <w:t xml:space="preserve"> been </w:t>
      </w:r>
      <w:r w:rsidR="00ED6A2E" w:rsidRPr="00ED6A2E">
        <w:rPr>
          <w:u w:val="single"/>
        </w:rPr>
        <w:t>set.</w:t>
      </w:r>
      <w:r w:rsidR="00ED6A2E" w:rsidRPr="00ED6A2E">
        <w:rPr>
          <w:strike/>
        </w:rPr>
        <w:t>established with the STA. A STA shall not transmit robust Action frames until it has installed the PTK for the peer STA, or in the case of group addressed frames, has installed the IGTK. The STA shall discard any robust Action frames received before the PTK and IGTK</w:t>
      </w:r>
      <w:r w:rsidR="007B12D8">
        <w:rPr>
          <w:strike/>
        </w:rPr>
        <w:t>, as appropriate,</w:t>
      </w:r>
      <w:r w:rsidR="00ED6A2E" w:rsidRPr="00ED6A2E">
        <w:rPr>
          <w:strike/>
        </w:rPr>
        <w:t xml:space="preserve"> are installed.</w:t>
      </w:r>
    </w:p>
    <w:p w14:paraId="37BCEE3C" w14:textId="77777777" w:rsidR="00ED6A2E" w:rsidRDefault="00ED6A2E" w:rsidP="00190624">
      <w:pPr>
        <w:ind w:left="720"/>
      </w:pPr>
    </w:p>
    <w:p w14:paraId="109CD9A6" w14:textId="192CDE8D" w:rsidR="009B2C0B" w:rsidRPr="001227A6" w:rsidRDefault="005B3327" w:rsidP="00190624">
      <w:pPr>
        <w:ind w:left="720"/>
        <w:rPr>
          <w:u w:val="single"/>
        </w:rPr>
      </w:pPr>
      <w:r>
        <w:rPr>
          <w:u w:val="single"/>
        </w:rPr>
        <w:t>If management frame protection</w:t>
      </w:r>
      <w:r w:rsidR="009B2C0B" w:rsidRPr="001227A6">
        <w:rPr>
          <w:u w:val="single"/>
        </w:rPr>
        <w:t xml:space="preserve"> </w:t>
      </w:r>
      <w:r w:rsidR="005B17D0">
        <w:rPr>
          <w:u w:val="single"/>
        </w:rPr>
        <w:t>i</w:t>
      </w:r>
      <w:r w:rsidR="009B2C0B" w:rsidRPr="001227A6">
        <w:rPr>
          <w:u w:val="single"/>
        </w:rPr>
        <w:t xml:space="preserve">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4F8F460F" w:rsidR="009B2C0B" w:rsidRPr="004C3014" w:rsidRDefault="009B2C0B" w:rsidP="00190624">
      <w:pPr>
        <w:ind w:left="720"/>
        <w:rPr>
          <w:sz w:val="20"/>
          <w:u w:val="single"/>
        </w:rPr>
      </w:pPr>
      <w:r w:rsidRPr="004C3014">
        <w:rPr>
          <w:sz w:val="20"/>
          <w:u w:val="single"/>
        </w:rPr>
        <w:lastRenderedPageBreak/>
        <w:t>NOTE</w:t>
      </w:r>
      <w:r w:rsidR="00D41359">
        <w:rPr>
          <w:sz w:val="20"/>
          <w:u w:val="single"/>
        </w:rPr>
        <w:t xml:space="preserve"> 1</w:t>
      </w:r>
      <w:r w:rsidRPr="004C3014">
        <w:rPr>
          <w:sz w:val="20"/>
          <w:u w:val="single"/>
        </w:rPr>
        <w:t>—</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74E6FA18"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Deauthentication or Disassociation frame </w:t>
      </w:r>
      <w:r w:rsidR="004C3014">
        <w:rPr>
          <w:u w:val="single"/>
        </w:rPr>
        <w:t xml:space="preserve">received </w:t>
      </w:r>
      <w:r w:rsidR="007931F8">
        <w:rPr>
          <w:u w:val="single"/>
        </w:rPr>
        <w:t>before</w:t>
      </w:r>
      <w:r w:rsidR="007931F8" w:rsidRPr="001227A6">
        <w:rPr>
          <w:u w:val="single"/>
        </w:rPr>
        <w:t xml:space="preserve"> the </w:t>
      </w:r>
      <w:r w:rsidR="007931F8">
        <w:rPr>
          <w:u w:val="single"/>
        </w:rPr>
        <w:t>PTKSA has been established</w:t>
      </w:r>
      <w:r w:rsidR="003A378E">
        <w:rPr>
          <w:u w:val="single"/>
        </w:rPr>
        <w:t>.</w:t>
      </w:r>
    </w:p>
    <w:p w14:paraId="55CCE345" w14:textId="288F4FDD" w:rsidR="007931F8" w:rsidRPr="004C3014" w:rsidRDefault="007931F8" w:rsidP="004C3014">
      <w:pPr>
        <w:ind w:left="720"/>
        <w:rPr>
          <w:sz w:val="20"/>
          <w:u w:val="single"/>
        </w:rPr>
      </w:pPr>
      <w:r w:rsidRPr="004C3014">
        <w:rPr>
          <w:sz w:val="20"/>
          <w:u w:val="single"/>
        </w:rPr>
        <w:t>NOTE</w:t>
      </w:r>
      <w:r w:rsidR="00D41359">
        <w:rPr>
          <w:sz w:val="20"/>
          <w:u w:val="single"/>
        </w:rPr>
        <w:t xml:space="preserve"> 2</w:t>
      </w:r>
      <w:r w:rsidRPr="004C3014">
        <w:rPr>
          <w:sz w:val="20"/>
          <w:u w:val="single"/>
        </w:rPr>
        <w:t xml:space="preserv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016BDDD1"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Deauthentication or Disassociation frame after the </w:t>
      </w:r>
      <w:r w:rsidR="003B2A2D">
        <w:rPr>
          <w:u w:val="single"/>
        </w:rPr>
        <w:t>PTKSA has been established</w:t>
      </w:r>
    </w:p>
    <w:p w14:paraId="54E59F52" w14:textId="60A12802" w:rsidR="000C2537" w:rsidRPr="004C3014" w:rsidRDefault="000C2537" w:rsidP="007F274E">
      <w:pPr>
        <w:ind w:left="1080"/>
        <w:rPr>
          <w:sz w:val="20"/>
          <w:u w:val="single"/>
        </w:rPr>
      </w:pPr>
      <w:r w:rsidRPr="004C3014">
        <w:rPr>
          <w:sz w:val="20"/>
          <w:u w:val="single"/>
        </w:rPr>
        <w:t>NOTE</w:t>
      </w:r>
      <w:r w:rsidR="00D41359">
        <w:rPr>
          <w:sz w:val="20"/>
          <w:u w:val="single"/>
        </w:rPr>
        <w:t xml:space="preserve"> 3</w:t>
      </w:r>
      <w:r w:rsidRPr="004C3014">
        <w:rPr>
          <w:sz w:val="20"/>
          <w:u w:val="single"/>
        </w:rPr>
        <w:t>—The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t>An unprotected individually addressed robust Action frame</w:t>
      </w:r>
    </w:p>
    <w:p w14:paraId="471395C6" w14:textId="1552AEB1" w:rsidR="009B2C0B" w:rsidRPr="004C3014" w:rsidRDefault="009B2C0B" w:rsidP="00093735">
      <w:pPr>
        <w:ind w:left="1080"/>
        <w:rPr>
          <w:sz w:val="20"/>
          <w:u w:val="single"/>
        </w:rPr>
      </w:pPr>
      <w:r w:rsidRPr="004C3014">
        <w:rPr>
          <w:sz w:val="20"/>
          <w:u w:val="single"/>
        </w:rPr>
        <w:t>NOTE</w:t>
      </w:r>
      <w:r w:rsidR="00D41359">
        <w:rPr>
          <w:sz w:val="20"/>
          <w:u w:val="single"/>
        </w:rPr>
        <w:t xml:space="preserve"> 4</w:t>
      </w:r>
      <w:r w:rsidRPr="004C3014">
        <w:rPr>
          <w:sz w:val="20"/>
          <w:u w:val="single"/>
        </w:rPr>
        <w:t xml:space="preserv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7DD96E4F" w:rsidR="001231A3" w:rsidRPr="009323E1" w:rsidRDefault="001231A3" w:rsidP="001231A3">
      <w:pPr>
        <w:ind w:left="720"/>
        <w:rPr>
          <w:u w:val="single"/>
        </w:rPr>
      </w:pPr>
      <w:r w:rsidRPr="003B2A2D">
        <w:rPr>
          <w:u w:val="single"/>
        </w:rPr>
        <w:t xml:space="preserve"> </w:t>
      </w:r>
    </w:p>
    <w:p w14:paraId="7A2261B0" w14:textId="77777777" w:rsidR="001231A3" w:rsidRPr="009323E1" w:rsidRDefault="001231A3" w:rsidP="001231A3">
      <w:pPr>
        <w:ind w:left="720"/>
        <w:rPr>
          <w:sz w:val="20"/>
          <w:u w:val="single"/>
        </w:rPr>
      </w:pPr>
    </w:p>
    <w:p w14:paraId="79DB8B6A" w14:textId="047E177D" w:rsidR="00FC763D" w:rsidRPr="003B2A2D" w:rsidRDefault="00FC763D" w:rsidP="00FC763D">
      <w:pPr>
        <w:ind w:left="720"/>
        <w:rPr>
          <w:u w:val="single"/>
        </w:rPr>
      </w:pPr>
      <w:r w:rsidRPr="003B2A2D">
        <w:rPr>
          <w:u w:val="single"/>
        </w:rPr>
        <w:t xml:space="preserve">If </w:t>
      </w:r>
      <w:r w:rsidR="005B3327">
        <w:rPr>
          <w:u w:val="single"/>
        </w:rPr>
        <w:t>management frame protection</w:t>
      </w:r>
      <w:r w:rsidRPr="003B2A2D">
        <w:rPr>
          <w:u w:val="single"/>
        </w:rPr>
        <w:t xml:space="preserve"> </w:t>
      </w:r>
      <w:r w:rsidR="006A0828">
        <w:rPr>
          <w:u w:val="single"/>
        </w:rPr>
        <w:t>i</w:t>
      </w:r>
      <w:r w:rsidRPr="003B2A2D">
        <w:rPr>
          <w:u w:val="single"/>
        </w:rPr>
        <w:t xml:space="preserve">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commentRangeStart w:id="0"/>
      <w:commentRangeEnd w:id="0"/>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690C8B40" w:rsidR="009323E1" w:rsidRDefault="006946FE" w:rsidP="006946FE">
      <w:pPr>
        <w:ind w:left="720"/>
        <w:rPr>
          <w:sz w:val="20"/>
          <w:u w:val="single"/>
        </w:rPr>
      </w:pPr>
      <w:r w:rsidRPr="004C3014">
        <w:rPr>
          <w:sz w:val="20"/>
          <w:u w:val="single"/>
        </w:rPr>
        <w:t>NOTE</w:t>
      </w:r>
      <w:r w:rsidR="00D41359">
        <w:rPr>
          <w:sz w:val="20"/>
          <w:u w:val="single"/>
        </w:rPr>
        <w:t xml:space="preserve"> 5</w:t>
      </w:r>
      <w:r w:rsidRPr="004C3014">
        <w:rPr>
          <w:sz w:val="20"/>
          <w:u w:val="single"/>
        </w:rPr>
        <w:t>—</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35D09693" w:rsidR="006946FE" w:rsidRDefault="006946FE" w:rsidP="006F0919"/>
    <w:p w14:paraId="4114C5AD" w14:textId="02B00908" w:rsidR="00A36442" w:rsidRDefault="00A36442" w:rsidP="00A455BB">
      <w:r>
        <w:t xml:space="preserve">Change </w:t>
      </w:r>
      <w:r w:rsidRPr="00A36442">
        <w:t>11.13 SA Query procedures</w:t>
      </w:r>
      <w:r>
        <w:t xml:space="preserve"> as follows:</w:t>
      </w:r>
    </w:p>
    <w:p w14:paraId="4E57AAF1" w14:textId="55D6D61F" w:rsidR="00A36442" w:rsidRDefault="00A36442" w:rsidP="00A455BB"/>
    <w:p w14:paraId="2DE148CA" w14:textId="068F20F4" w:rsidR="00A36442" w:rsidRPr="00A36442" w:rsidRDefault="00A36442" w:rsidP="00A36442">
      <w:pPr>
        <w:ind w:left="720"/>
        <w:rPr>
          <w:szCs w:val="22"/>
        </w:rPr>
      </w:pPr>
      <w:r w:rsidRPr="00A36442">
        <w:rPr>
          <w:szCs w:val="22"/>
        </w:rPr>
        <w:t>If a non-AP and non-PCP STA that has an SA with its AP or PCP for an association that negotiated</w:t>
      </w:r>
      <w:r>
        <w:rPr>
          <w:szCs w:val="22"/>
        </w:rPr>
        <w:t xml:space="preserve"> </w:t>
      </w:r>
      <w:r w:rsidRPr="00A36442">
        <w:rPr>
          <w:szCs w:val="22"/>
        </w:rPr>
        <w:t xml:space="preserve">management frame protection receives an </w:t>
      </w:r>
      <w:r w:rsidRPr="00A36442">
        <w:rPr>
          <w:szCs w:val="22"/>
          <w:u w:val="single"/>
        </w:rPr>
        <w:t xml:space="preserve">individually addressed </w:t>
      </w:r>
      <w:r>
        <w:rPr>
          <w:szCs w:val="22"/>
        </w:rPr>
        <w:t xml:space="preserve">unprotected Deauthentication or </w:t>
      </w:r>
      <w:r w:rsidRPr="00A36442">
        <w:rPr>
          <w:szCs w:val="22"/>
        </w:rPr>
        <w:t>Disassociation frame with reason</w:t>
      </w:r>
      <w:r>
        <w:rPr>
          <w:szCs w:val="22"/>
        </w:rPr>
        <w:t xml:space="preserve"> </w:t>
      </w:r>
      <w:r w:rsidRPr="00A36442">
        <w:rPr>
          <w:szCs w:val="22"/>
        </w:rPr>
        <w:t>code INVALID_CLASS2_FRAME or INVALID_CLASS3_FRAME from the AP or PCP, the non-AP and</w:t>
      </w:r>
      <w:r>
        <w:rPr>
          <w:szCs w:val="22"/>
        </w:rPr>
        <w:t xml:space="preserve"> </w:t>
      </w:r>
      <w:r w:rsidRPr="00A36442">
        <w:rPr>
          <w:szCs w:val="22"/>
        </w:rPr>
        <w:t>non-PCP STA may use this as an indication that the</w:t>
      </w:r>
      <w:bookmarkStart w:id="1" w:name="_GoBack"/>
      <w:bookmarkEnd w:id="1"/>
      <w:r w:rsidRPr="00A36442">
        <w:rPr>
          <w:szCs w:val="22"/>
        </w:rPr>
        <w:t>re might be a mismatch in the association state between</w:t>
      </w:r>
      <w:r>
        <w:rPr>
          <w:szCs w:val="22"/>
        </w:rPr>
        <w:t xml:space="preserve"> </w:t>
      </w:r>
      <w:r w:rsidRPr="00A36442">
        <w:rPr>
          <w:szCs w:val="22"/>
        </w:rPr>
        <w:t>itself and the AP or PCP. In such a case, the non-AP and non-PCP STA’s SME may initiate the SA Query</w:t>
      </w:r>
      <w:r>
        <w:rPr>
          <w:szCs w:val="22"/>
        </w:rPr>
        <w:t xml:space="preserve"> </w:t>
      </w:r>
      <w:r w:rsidRPr="00A36442">
        <w:rPr>
          <w:szCs w:val="22"/>
        </w:rPr>
        <w:t>procedure</w:t>
      </w:r>
    </w:p>
    <w:p w14:paraId="62BDBC81" w14:textId="77777777" w:rsidR="00A36442" w:rsidRPr="00A36442" w:rsidRDefault="00A36442" w:rsidP="00A455BB">
      <w:pPr>
        <w:rPr>
          <w:szCs w:val="22"/>
        </w:rPr>
      </w:pPr>
    </w:p>
    <w:p w14:paraId="2A1D99E6" w14:textId="31AA1A24" w:rsidR="00A455BB" w:rsidRDefault="00A455BB" w:rsidP="00A455BB">
      <w:r>
        <w:t xml:space="preserve">In 12.5.4.6 BIP reception </w:t>
      </w:r>
      <w:r w:rsidR="007B12D8">
        <w:t xml:space="preserve">at 3155.59 </w:t>
      </w:r>
      <w:r>
        <w:t>delete “If management frame protection is negotiated, group addressed robust Management frames that are received without BIP protection shall be discarded.”</w:t>
      </w:r>
    </w:p>
    <w:p w14:paraId="514CF0CD" w14:textId="13A711C1" w:rsidR="0075499E" w:rsidRDefault="0075499E" w:rsidP="00A455BB"/>
    <w:p w14:paraId="0B60CE77" w14:textId="284E1DE0" w:rsidR="0075499E" w:rsidRDefault="0075499E" w:rsidP="00A455BB">
      <w:r>
        <w:t xml:space="preserve">In </w:t>
      </w:r>
      <w:r w:rsidRPr="0075499E">
        <w:t>11.3.4.3 Authentication—destination STA</w:t>
      </w:r>
      <w:r w:rsidR="007B12D8">
        <w:t xml:space="preserve"> at 2743.58</w:t>
      </w:r>
      <w:r>
        <w:t xml:space="preserve"> change “</w:t>
      </w:r>
      <w:r w:rsidRPr="0075499E">
        <w:t>NOTE—If management frame protection was negotiated</w:t>
      </w:r>
      <w:r>
        <w:t>” to “</w:t>
      </w:r>
      <w:r w:rsidRPr="0075499E">
        <w:t>NOTE—I</w:t>
      </w:r>
      <w:r>
        <w:t>f management frame protection i</w:t>
      </w:r>
      <w:r w:rsidRPr="0075499E">
        <w:t>s negotiated</w:t>
      </w:r>
      <w:r>
        <w:t>”.</w:t>
      </w:r>
    </w:p>
    <w:p w14:paraId="57DCE17B" w14:textId="4922EB01" w:rsidR="00A962B4" w:rsidRDefault="00A962B4" w:rsidP="00A455BB"/>
    <w:p w14:paraId="5B9E5024" w14:textId="79AB8A25" w:rsidR="00A962B4" w:rsidRPr="00A962B4" w:rsidRDefault="00A962B4" w:rsidP="00A455BB">
      <w:pPr>
        <w:rPr>
          <w:u w:val="single"/>
        </w:rPr>
      </w:pPr>
      <w:r w:rsidRPr="00A962B4">
        <w:rPr>
          <w:u w:val="single"/>
        </w:rPr>
        <w:t>Proposed resolution for CID xxx</w:t>
      </w:r>
      <w:r w:rsidR="00D76957">
        <w:rPr>
          <w:u w:val="single"/>
        </w:rPr>
        <w:t>, where xxx = 2128, 1956, 1957</w:t>
      </w:r>
      <w:r w:rsidRPr="00A962B4">
        <w:rPr>
          <w:u w:val="single"/>
        </w:rPr>
        <w:t>:</w:t>
      </w:r>
    </w:p>
    <w:p w14:paraId="78D96366" w14:textId="6CDD8594" w:rsidR="00A962B4" w:rsidRDefault="00A962B4" w:rsidP="00A455BB"/>
    <w:p w14:paraId="095A7109" w14:textId="4EB5C207" w:rsidR="00D76957" w:rsidRDefault="00D76957" w:rsidP="00A455BB">
      <w:r>
        <w:t>REVISED</w:t>
      </w:r>
    </w:p>
    <w:p w14:paraId="2DE17523" w14:textId="77777777" w:rsidR="00D76957" w:rsidRDefault="00D76957" w:rsidP="00A455BB"/>
    <w:p w14:paraId="7CDCD66B" w14:textId="1E174FD4" w:rsidR="00A962B4" w:rsidRDefault="00F47647" w:rsidP="00A455BB">
      <w:r>
        <w:t xml:space="preserve">Make the changes </w:t>
      </w:r>
      <w:r w:rsidR="00A962B4">
        <w:t>in 21/1128r6.</w:t>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31E287D7" w:rsidR="00C53A29" w:rsidRDefault="00C53A29">
      <w:r>
        <w:t>802.11me/D0.0</w:t>
      </w:r>
      <w:r w:rsidR="00F2186B">
        <w:t xml:space="preserve"> unless otherwise indicated</w:t>
      </w:r>
    </w:p>
    <w:p w14:paraId="242DED8F" w14:textId="09B3F7FA" w:rsidR="00524757" w:rsidRDefault="00247CA1">
      <w:r>
        <w:t>802.11ax-2021</w:t>
      </w:r>
    </w:p>
    <w:p w14:paraId="7EB8A7DE" w14:textId="7CE9B9D5" w:rsidR="00DA4E95" w:rsidRDefault="0088021C" w:rsidP="00804D2B">
      <w:hyperlink r:id="rId13" w:history="1">
        <w:r w:rsidR="00704914" w:rsidRPr="00CB1CD7">
          <w:rPr>
            <w:rStyle w:val="Hyperlink"/>
          </w:rPr>
          <w:t>https://papers.mathyvanhoef.com/usenix2021.pdf</w:t>
        </w:r>
      </w:hyperlink>
    </w:p>
    <w:sectPr w:rsidR="00DA4E95">
      <w:headerReference w:type="default" r:id="rId14"/>
      <w:footerReference w:type="defaul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2D21" w16cex:dateUtc="2022-01-21T21:01:00Z"/>
  <w16cex:commentExtensible w16cex:durableId="25952DD7" w16cex:dateUtc="2022-01-21T21:04:00Z"/>
  <w16cex:commentExtensible w16cex:durableId="25952D40" w16cex:dateUtc="2022-01-21T21:01:00Z"/>
  <w16cex:commentExtensible w16cex:durableId="25952F2A" w16cex:dateUtc="2022-01-21T21:10:00Z"/>
  <w16cex:commentExtensible w16cex:durableId="259A43DC" w16cex:dateUtc="2022-01-25T17:39:00Z"/>
  <w16cex:commentExtensible w16cex:durableId="259530B9" w16cex:dateUtc="2022-01-21T21:16:00Z"/>
  <w16cex:commentExtensible w16cex:durableId="2595312A" w16cex:dateUtc="2022-01-21T21:18:00Z"/>
  <w16cex:commentExtensible w16cex:durableId="259531A9" w16cex:dateUtc="2022-01-21T21:20:00Z"/>
  <w16cex:commentExtensible w16cex:durableId="259532BB" w16cex:dateUtc="2022-01-21T21:25:00Z"/>
  <w16cex:commentExtensible w16cex:durableId="259532A6" w16cex:dateUtc="2022-01-21T21:24:00Z"/>
  <w16cex:commentExtensible w16cex:durableId="259A4480" w16cex:dateUtc="2022-01-25T17:42:00Z"/>
  <w16cex:commentExtensible w16cex:durableId="25953406" w16cex:dateUtc="2022-01-21T21:30:00Z"/>
  <w16cex:commentExtensible w16cex:durableId="259535BD" w16cex:dateUtc="2022-01-21T21:38:00Z"/>
  <w16cex:commentExtensible w16cex:durableId="25953682" w16cex:dateUtc="2022-01-21T21:41:00Z"/>
  <w16cex:commentExtensible w16cex:durableId="259536B6" w16cex:dateUtc="2022-01-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75906" w16cid:durableId="25952B51"/>
  <w16cid:commentId w16cid:paraId="0FD26B82" w16cid:durableId="25952B52"/>
  <w16cid:commentId w16cid:paraId="0B8BA56E" w16cid:durableId="25952B53"/>
  <w16cid:commentId w16cid:paraId="5528E381" w16cid:durableId="25952B54"/>
  <w16cid:commentId w16cid:paraId="231136F7" w16cid:durableId="25952D21"/>
  <w16cid:commentId w16cid:paraId="42A7499D" w16cid:durableId="25952DD7"/>
  <w16cid:commentId w16cid:paraId="1BD71F8C" w16cid:durableId="25952D40"/>
  <w16cid:commentId w16cid:paraId="46F6176F" w16cid:durableId="25952F2A"/>
  <w16cid:commentId w16cid:paraId="00632EE7" w16cid:durableId="25952B55"/>
  <w16cid:commentId w16cid:paraId="30986D62" w16cid:durableId="259A43DC"/>
  <w16cid:commentId w16cid:paraId="308729DF" w16cid:durableId="259530B9"/>
  <w16cid:commentId w16cid:paraId="525DF634" w16cid:durableId="25952B56"/>
  <w16cid:commentId w16cid:paraId="5EEC75DF" w16cid:durableId="2595312A"/>
  <w16cid:commentId w16cid:paraId="368373D1" w16cid:durableId="25952B57"/>
  <w16cid:commentId w16cid:paraId="33FC8F27" w16cid:durableId="259531A9"/>
  <w16cid:commentId w16cid:paraId="0C1E96EC" w16cid:durableId="259532BB"/>
  <w16cid:commentId w16cid:paraId="6D14A28B" w16cid:durableId="259532A6"/>
  <w16cid:commentId w16cid:paraId="659152D1" w16cid:durableId="25952B58"/>
  <w16cid:commentId w16cid:paraId="60154D27" w16cid:durableId="25952B59"/>
  <w16cid:commentId w16cid:paraId="62249659" w16cid:durableId="25952B5A"/>
  <w16cid:commentId w16cid:paraId="3711937E" w16cid:durableId="25952B5B"/>
  <w16cid:commentId w16cid:paraId="605C7ACF" w16cid:durableId="25952B5C"/>
  <w16cid:commentId w16cid:paraId="3693E4C0" w16cid:durableId="25952B5D"/>
  <w16cid:commentId w16cid:paraId="0D9A927C" w16cid:durableId="25952B5E"/>
  <w16cid:commentId w16cid:paraId="1ED2A2E4" w16cid:durableId="25952B5F"/>
  <w16cid:commentId w16cid:paraId="44C93227" w16cid:durableId="25952B60"/>
  <w16cid:commentId w16cid:paraId="3605C065" w16cid:durableId="259A4480"/>
  <w16cid:commentId w16cid:paraId="1D16E809" w16cid:durableId="25952B61"/>
  <w16cid:commentId w16cid:paraId="74D806CB" w16cid:durableId="25953406"/>
  <w16cid:commentId w16cid:paraId="35203DA2" w16cid:durableId="25952B62"/>
  <w16cid:commentId w16cid:paraId="60F6072F" w16cid:durableId="25952B63"/>
  <w16cid:commentId w16cid:paraId="1FB14D03" w16cid:durableId="25952B64"/>
  <w16cid:commentId w16cid:paraId="3BFD3742" w16cid:durableId="259535BD"/>
  <w16cid:commentId w16cid:paraId="466D6716" w16cid:durableId="25952B65"/>
  <w16cid:commentId w16cid:paraId="7539880B" w16cid:durableId="25952B66"/>
  <w16cid:commentId w16cid:paraId="058E6381" w16cid:durableId="25952B67"/>
  <w16cid:commentId w16cid:paraId="6A6AC18F" w16cid:durableId="25952B68"/>
  <w16cid:commentId w16cid:paraId="30AAD4F5" w16cid:durableId="25953682"/>
  <w16cid:commentId w16cid:paraId="3465973A" w16cid:durableId="25953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372F" w14:textId="77777777" w:rsidR="0088021C" w:rsidRDefault="0088021C">
      <w:r>
        <w:separator/>
      </w:r>
    </w:p>
  </w:endnote>
  <w:endnote w:type="continuationSeparator" w:id="0">
    <w:p w14:paraId="3C7739A7" w14:textId="77777777" w:rsidR="0088021C" w:rsidRDefault="0088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73348594" w:rsidR="002939E5" w:rsidRPr="00516BA2" w:rsidRDefault="002939E5">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Pr="00516BA2">
      <w:rPr>
        <w:lang w:val="fr-FR"/>
      </w:rPr>
      <w:t>Submission</w:t>
    </w:r>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EF3599">
      <w:rPr>
        <w:noProof/>
        <w:lang w:val="fr-FR"/>
      </w:rPr>
      <w:t>11</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2939E5" w:rsidRPr="00516BA2" w:rsidRDefault="002939E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9A3C" w14:textId="77777777" w:rsidR="0088021C" w:rsidRDefault="0088021C">
      <w:r>
        <w:separator/>
      </w:r>
    </w:p>
  </w:footnote>
  <w:footnote w:type="continuationSeparator" w:id="0">
    <w:p w14:paraId="203F5DE2" w14:textId="77777777" w:rsidR="0088021C" w:rsidRDefault="0088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58788E74" w:rsidR="002939E5" w:rsidRDefault="0088021C">
    <w:pPr>
      <w:pStyle w:val="Header"/>
      <w:tabs>
        <w:tab w:val="clear" w:pos="6480"/>
        <w:tab w:val="center" w:pos="4680"/>
        <w:tab w:val="right" w:pos="9360"/>
      </w:tabs>
    </w:pPr>
    <w:r>
      <w:fldChar w:fldCharType="begin"/>
    </w:r>
    <w:r>
      <w:instrText xml:space="preserve"> KEYWORDS  \* MERGEFORMAT </w:instrText>
    </w:r>
    <w:r>
      <w:fldChar w:fldCharType="separate"/>
    </w:r>
    <w:r w:rsidR="006C3342">
      <w:t>July 2022</w:t>
    </w:r>
    <w:r>
      <w:fldChar w:fldCharType="end"/>
    </w:r>
    <w:r w:rsidR="002939E5">
      <w:tab/>
    </w:r>
    <w:r w:rsidR="002939E5">
      <w:tab/>
    </w:r>
    <w:r>
      <w:fldChar w:fldCharType="begin"/>
    </w:r>
    <w:r>
      <w:instrText xml:space="preserve"> TITLE  \* MERGEFORMAT </w:instrText>
    </w:r>
    <w:r>
      <w:fldChar w:fldCharType="separate"/>
    </w:r>
    <w:r w:rsidR="00EF3599">
      <w:t>doc.: IEEE 802.11-21/1128r6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67"/>
    <w:rsid w:val="000078F5"/>
    <w:rsid w:val="0001092D"/>
    <w:rsid w:val="000117AF"/>
    <w:rsid w:val="00013C75"/>
    <w:rsid w:val="00016787"/>
    <w:rsid w:val="000176DB"/>
    <w:rsid w:val="00022634"/>
    <w:rsid w:val="00023BCA"/>
    <w:rsid w:val="00024E1D"/>
    <w:rsid w:val="000309CA"/>
    <w:rsid w:val="00032C01"/>
    <w:rsid w:val="00034A11"/>
    <w:rsid w:val="00043566"/>
    <w:rsid w:val="00044275"/>
    <w:rsid w:val="00044402"/>
    <w:rsid w:val="00045325"/>
    <w:rsid w:val="00052482"/>
    <w:rsid w:val="00057452"/>
    <w:rsid w:val="00060D68"/>
    <w:rsid w:val="00061B13"/>
    <w:rsid w:val="00066F33"/>
    <w:rsid w:val="00067590"/>
    <w:rsid w:val="00075C96"/>
    <w:rsid w:val="00076BC5"/>
    <w:rsid w:val="00090665"/>
    <w:rsid w:val="00093735"/>
    <w:rsid w:val="000A198D"/>
    <w:rsid w:val="000A2340"/>
    <w:rsid w:val="000B0D8E"/>
    <w:rsid w:val="000B554E"/>
    <w:rsid w:val="000C2537"/>
    <w:rsid w:val="000D0E8D"/>
    <w:rsid w:val="000D1F56"/>
    <w:rsid w:val="000D5297"/>
    <w:rsid w:val="000D728E"/>
    <w:rsid w:val="000D796A"/>
    <w:rsid w:val="000E1A72"/>
    <w:rsid w:val="000E3C64"/>
    <w:rsid w:val="000E42C8"/>
    <w:rsid w:val="000E7EF6"/>
    <w:rsid w:val="000F7877"/>
    <w:rsid w:val="00110F1D"/>
    <w:rsid w:val="00117EC0"/>
    <w:rsid w:val="001227A6"/>
    <w:rsid w:val="001231A3"/>
    <w:rsid w:val="00123F09"/>
    <w:rsid w:val="001257EE"/>
    <w:rsid w:val="00126A3A"/>
    <w:rsid w:val="00135810"/>
    <w:rsid w:val="0014396E"/>
    <w:rsid w:val="00144C28"/>
    <w:rsid w:val="00146314"/>
    <w:rsid w:val="00153F49"/>
    <w:rsid w:val="00155520"/>
    <w:rsid w:val="00155E23"/>
    <w:rsid w:val="0015620A"/>
    <w:rsid w:val="00156417"/>
    <w:rsid w:val="00156ACD"/>
    <w:rsid w:val="00161BC6"/>
    <w:rsid w:val="0017362A"/>
    <w:rsid w:val="00173F57"/>
    <w:rsid w:val="001836CC"/>
    <w:rsid w:val="00190624"/>
    <w:rsid w:val="00193167"/>
    <w:rsid w:val="001A2B4E"/>
    <w:rsid w:val="001A5C13"/>
    <w:rsid w:val="001B05DC"/>
    <w:rsid w:val="001B3B32"/>
    <w:rsid w:val="001B7215"/>
    <w:rsid w:val="001C16C2"/>
    <w:rsid w:val="001C5D4A"/>
    <w:rsid w:val="001C6DCD"/>
    <w:rsid w:val="001C7FC9"/>
    <w:rsid w:val="001D723B"/>
    <w:rsid w:val="001E2AA5"/>
    <w:rsid w:val="001E2F69"/>
    <w:rsid w:val="001E388F"/>
    <w:rsid w:val="001F4A91"/>
    <w:rsid w:val="001F7CEA"/>
    <w:rsid w:val="00204E1F"/>
    <w:rsid w:val="002114CB"/>
    <w:rsid w:val="00212F78"/>
    <w:rsid w:val="00213845"/>
    <w:rsid w:val="0021733D"/>
    <w:rsid w:val="0022182A"/>
    <w:rsid w:val="0023502F"/>
    <w:rsid w:val="002367E9"/>
    <w:rsid w:val="0024178F"/>
    <w:rsid w:val="002452DF"/>
    <w:rsid w:val="00247CA1"/>
    <w:rsid w:val="00251AB5"/>
    <w:rsid w:val="0025370B"/>
    <w:rsid w:val="00253B24"/>
    <w:rsid w:val="0025444D"/>
    <w:rsid w:val="00254824"/>
    <w:rsid w:val="0025535D"/>
    <w:rsid w:val="00255D89"/>
    <w:rsid w:val="00264A21"/>
    <w:rsid w:val="00266477"/>
    <w:rsid w:val="00270951"/>
    <w:rsid w:val="002714A5"/>
    <w:rsid w:val="00274C90"/>
    <w:rsid w:val="00275268"/>
    <w:rsid w:val="0027528F"/>
    <w:rsid w:val="002766E5"/>
    <w:rsid w:val="00277160"/>
    <w:rsid w:val="00280E7E"/>
    <w:rsid w:val="0029020B"/>
    <w:rsid w:val="002939E5"/>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3C2E"/>
    <w:rsid w:val="002E6A23"/>
    <w:rsid w:val="002F0692"/>
    <w:rsid w:val="002F1F63"/>
    <w:rsid w:val="002F7572"/>
    <w:rsid w:val="00300063"/>
    <w:rsid w:val="00300892"/>
    <w:rsid w:val="003116E7"/>
    <w:rsid w:val="00312A4C"/>
    <w:rsid w:val="0031613D"/>
    <w:rsid w:val="003206AF"/>
    <w:rsid w:val="003230CB"/>
    <w:rsid w:val="00323C06"/>
    <w:rsid w:val="00326671"/>
    <w:rsid w:val="0034497F"/>
    <w:rsid w:val="003466C7"/>
    <w:rsid w:val="00346F94"/>
    <w:rsid w:val="00351277"/>
    <w:rsid w:val="003542C1"/>
    <w:rsid w:val="00354893"/>
    <w:rsid w:val="0036388F"/>
    <w:rsid w:val="00366F1B"/>
    <w:rsid w:val="00372706"/>
    <w:rsid w:val="0037358B"/>
    <w:rsid w:val="00376DDF"/>
    <w:rsid w:val="0038003F"/>
    <w:rsid w:val="00380ACB"/>
    <w:rsid w:val="00381F65"/>
    <w:rsid w:val="00384434"/>
    <w:rsid w:val="00387EFB"/>
    <w:rsid w:val="00391606"/>
    <w:rsid w:val="003941C2"/>
    <w:rsid w:val="003A3269"/>
    <w:rsid w:val="003A378E"/>
    <w:rsid w:val="003A52F0"/>
    <w:rsid w:val="003B0F1A"/>
    <w:rsid w:val="003B2A2D"/>
    <w:rsid w:val="003B335E"/>
    <w:rsid w:val="003B65B5"/>
    <w:rsid w:val="003B7D18"/>
    <w:rsid w:val="003C1434"/>
    <w:rsid w:val="003C5205"/>
    <w:rsid w:val="003C6663"/>
    <w:rsid w:val="003D12D2"/>
    <w:rsid w:val="003D138F"/>
    <w:rsid w:val="003D3457"/>
    <w:rsid w:val="003D3642"/>
    <w:rsid w:val="003D62CD"/>
    <w:rsid w:val="003E3E2E"/>
    <w:rsid w:val="003F198A"/>
    <w:rsid w:val="003F5A2B"/>
    <w:rsid w:val="004034D1"/>
    <w:rsid w:val="004063C0"/>
    <w:rsid w:val="004127D7"/>
    <w:rsid w:val="004136D0"/>
    <w:rsid w:val="004148D1"/>
    <w:rsid w:val="00416E88"/>
    <w:rsid w:val="0041792F"/>
    <w:rsid w:val="00422A3A"/>
    <w:rsid w:val="00426097"/>
    <w:rsid w:val="004265CD"/>
    <w:rsid w:val="004348A8"/>
    <w:rsid w:val="00436C78"/>
    <w:rsid w:val="004375D1"/>
    <w:rsid w:val="00442037"/>
    <w:rsid w:val="004438DB"/>
    <w:rsid w:val="00453056"/>
    <w:rsid w:val="004540D4"/>
    <w:rsid w:val="004551E2"/>
    <w:rsid w:val="004576C1"/>
    <w:rsid w:val="00463B8A"/>
    <w:rsid w:val="00465411"/>
    <w:rsid w:val="0046726C"/>
    <w:rsid w:val="00467F9B"/>
    <w:rsid w:val="00470F14"/>
    <w:rsid w:val="00470FAD"/>
    <w:rsid w:val="00471EE8"/>
    <w:rsid w:val="00472997"/>
    <w:rsid w:val="00473DC1"/>
    <w:rsid w:val="00475031"/>
    <w:rsid w:val="00481C01"/>
    <w:rsid w:val="0048383C"/>
    <w:rsid w:val="00485BD4"/>
    <w:rsid w:val="00486739"/>
    <w:rsid w:val="00486E7C"/>
    <w:rsid w:val="004871EA"/>
    <w:rsid w:val="00490301"/>
    <w:rsid w:val="00492892"/>
    <w:rsid w:val="004935D0"/>
    <w:rsid w:val="004937BB"/>
    <w:rsid w:val="004953C1"/>
    <w:rsid w:val="004974FB"/>
    <w:rsid w:val="004977D1"/>
    <w:rsid w:val="004A51DC"/>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257D"/>
    <w:rsid w:val="005069EC"/>
    <w:rsid w:val="00507F21"/>
    <w:rsid w:val="005126B6"/>
    <w:rsid w:val="00512A34"/>
    <w:rsid w:val="00516BA2"/>
    <w:rsid w:val="0051761A"/>
    <w:rsid w:val="00521B53"/>
    <w:rsid w:val="00524757"/>
    <w:rsid w:val="00531B85"/>
    <w:rsid w:val="00542691"/>
    <w:rsid w:val="00544470"/>
    <w:rsid w:val="00546887"/>
    <w:rsid w:val="005470B4"/>
    <w:rsid w:val="00550398"/>
    <w:rsid w:val="00556CCF"/>
    <w:rsid w:val="0056534A"/>
    <w:rsid w:val="00575DAA"/>
    <w:rsid w:val="00576AC1"/>
    <w:rsid w:val="00576D2D"/>
    <w:rsid w:val="005816E5"/>
    <w:rsid w:val="00583867"/>
    <w:rsid w:val="005842FD"/>
    <w:rsid w:val="0058636E"/>
    <w:rsid w:val="00594D65"/>
    <w:rsid w:val="005A06C5"/>
    <w:rsid w:val="005B17D0"/>
    <w:rsid w:val="005B1D71"/>
    <w:rsid w:val="005B3327"/>
    <w:rsid w:val="005B48BE"/>
    <w:rsid w:val="005B67D1"/>
    <w:rsid w:val="005C5819"/>
    <w:rsid w:val="005C6033"/>
    <w:rsid w:val="005C72BE"/>
    <w:rsid w:val="005C7A23"/>
    <w:rsid w:val="005D4F79"/>
    <w:rsid w:val="005E0C7D"/>
    <w:rsid w:val="005E64CB"/>
    <w:rsid w:val="005E7B17"/>
    <w:rsid w:val="005F4679"/>
    <w:rsid w:val="005F635F"/>
    <w:rsid w:val="005F66C9"/>
    <w:rsid w:val="005F73AD"/>
    <w:rsid w:val="00606122"/>
    <w:rsid w:val="0060673D"/>
    <w:rsid w:val="00607367"/>
    <w:rsid w:val="006151C6"/>
    <w:rsid w:val="006156AB"/>
    <w:rsid w:val="006164D0"/>
    <w:rsid w:val="0062440B"/>
    <w:rsid w:val="00633157"/>
    <w:rsid w:val="00634CA9"/>
    <w:rsid w:val="006436C1"/>
    <w:rsid w:val="006448C2"/>
    <w:rsid w:val="00644C0C"/>
    <w:rsid w:val="00644F51"/>
    <w:rsid w:val="00650B29"/>
    <w:rsid w:val="00655FCD"/>
    <w:rsid w:val="00664218"/>
    <w:rsid w:val="006669CB"/>
    <w:rsid w:val="00667618"/>
    <w:rsid w:val="006773A7"/>
    <w:rsid w:val="00677A58"/>
    <w:rsid w:val="00684C42"/>
    <w:rsid w:val="00692D4F"/>
    <w:rsid w:val="00694034"/>
    <w:rsid w:val="006944E7"/>
    <w:rsid w:val="006946FE"/>
    <w:rsid w:val="0069472A"/>
    <w:rsid w:val="006A0828"/>
    <w:rsid w:val="006A2607"/>
    <w:rsid w:val="006A6F5C"/>
    <w:rsid w:val="006B2C4E"/>
    <w:rsid w:val="006B6E3D"/>
    <w:rsid w:val="006C0727"/>
    <w:rsid w:val="006C3342"/>
    <w:rsid w:val="006D44AF"/>
    <w:rsid w:val="006D4DE6"/>
    <w:rsid w:val="006E0F9A"/>
    <w:rsid w:val="006E145F"/>
    <w:rsid w:val="006E3093"/>
    <w:rsid w:val="006F0919"/>
    <w:rsid w:val="006F72EB"/>
    <w:rsid w:val="007016FD"/>
    <w:rsid w:val="007017A5"/>
    <w:rsid w:val="007032CC"/>
    <w:rsid w:val="00703C13"/>
    <w:rsid w:val="00704914"/>
    <w:rsid w:val="0070627E"/>
    <w:rsid w:val="00710E9C"/>
    <w:rsid w:val="00714A1D"/>
    <w:rsid w:val="007168B0"/>
    <w:rsid w:val="00716CA2"/>
    <w:rsid w:val="00723245"/>
    <w:rsid w:val="007233A7"/>
    <w:rsid w:val="00734EEC"/>
    <w:rsid w:val="00737E7E"/>
    <w:rsid w:val="00740AD5"/>
    <w:rsid w:val="00741D98"/>
    <w:rsid w:val="0074395C"/>
    <w:rsid w:val="0075058A"/>
    <w:rsid w:val="0075336A"/>
    <w:rsid w:val="00753DCC"/>
    <w:rsid w:val="0075499E"/>
    <w:rsid w:val="007549E6"/>
    <w:rsid w:val="007549FC"/>
    <w:rsid w:val="007561A0"/>
    <w:rsid w:val="00757790"/>
    <w:rsid w:val="00762122"/>
    <w:rsid w:val="007627D6"/>
    <w:rsid w:val="00770572"/>
    <w:rsid w:val="00770C1A"/>
    <w:rsid w:val="00772EDC"/>
    <w:rsid w:val="00773DCC"/>
    <w:rsid w:val="00776C0B"/>
    <w:rsid w:val="00776CDE"/>
    <w:rsid w:val="00781773"/>
    <w:rsid w:val="00781F78"/>
    <w:rsid w:val="007871F6"/>
    <w:rsid w:val="00791F03"/>
    <w:rsid w:val="007931F8"/>
    <w:rsid w:val="007A06E7"/>
    <w:rsid w:val="007A183E"/>
    <w:rsid w:val="007A7527"/>
    <w:rsid w:val="007B015D"/>
    <w:rsid w:val="007B12D8"/>
    <w:rsid w:val="007B59B9"/>
    <w:rsid w:val="007B6D12"/>
    <w:rsid w:val="007C2D7A"/>
    <w:rsid w:val="007C44B7"/>
    <w:rsid w:val="007C5539"/>
    <w:rsid w:val="007C7AE5"/>
    <w:rsid w:val="007D2F51"/>
    <w:rsid w:val="007D30E4"/>
    <w:rsid w:val="007D5F97"/>
    <w:rsid w:val="007D7909"/>
    <w:rsid w:val="007F080D"/>
    <w:rsid w:val="007F274E"/>
    <w:rsid w:val="007F6097"/>
    <w:rsid w:val="00804D2B"/>
    <w:rsid w:val="008073EB"/>
    <w:rsid w:val="0081020C"/>
    <w:rsid w:val="008117F9"/>
    <w:rsid w:val="0081215E"/>
    <w:rsid w:val="00814B63"/>
    <w:rsid w:val="008220F2"/>
    <w:rsid w:val="0083238B"/>
    <w:rsid w:val="0084102E"/>
    <w:rsid w:val="00847966"/>
    <w:rsid w:val="008558B3"/>
    <w:rsid w:val="0086230B"/>
    <w:rsid w:val="00863F1C"/>
    <w:rsid w:val="008651F0"/>
    <w:rsid w:val="00870067"/>
    <w:rsid w:val="0087202D"/>
    <w:rsid w:val="008720D5"/>
    <w:rsid w:val="0088021C"/>
    <w:rsid w:val="00881CE0"/>
    <w:rsid w:val="00893BFC"/>
    <w:rsid w:val="008A478B"/>
    <w:rsid w:val="008B0268"/>
    <w:rsid w:val="008B032F"/>
    <w:rsid w:val="008B5359"/>
    <w:rsid w:val="008C080E"/>
    <w:rsid w:val="008C3520"/>
    <w:rsid w:val="008C50E2"/>
    <w:rsid w:val="008C56C5"/>
    <w:rsid w:val="008E03FD"/>
    <w:rsid w:val="008E1A5F"/>
    <w:rsid w:val="008E58E3"/>
    <w:rsid w:val="008E59E0"/>
    <w:rsid w:val="008E6CD0"/>
    <w:rsid w:val="00901795"/>
    <w:rsid w:val="00901C5F"/>
    <w:rsid w:val="009059CC"/>
    <w:rsid w:val="009064DE"/>
    <w:rsid w:val="009279E3"/>
    <w:rsid w:val="00927ED5"/>
    <w:rsid w:val="00931CBA"/>
    <w:rsid w:val="009323E1"/>
    <w:rsid w:val="00936436"/>
    <w:rsid w:val="00940A2D"/>
    <w:rsid w:val="00940E97"/>
    <w:rsid w:val="00950C88"/>
    <w:rsid w:val="00950DDB"/>
    <w:rsid w:val="0096203A"/>
    <w:rsid w:val="00963442"/>
    <w:rsid w:val="00964956"/>
    <w:rsid w:val="0096519A"/>
    <w:rsid w:val="00970B60"/>
    <w:rsid w:val="009721AC"/>
    <w:rsid w:val="009749CB"/>
    <w:rsid w:val="00974A85"/>
    <w:rsid w:val="00975EEC"/>
    <w:rsid w:val="00977F37"/>
    <w:rsid w:val="00984F08"/>
    <w:rsid w:val="0098541A"/>
    <w:rsid w:val="009866DA"/>
    <w:rsid w:val="009940F3"/>
    <w:rsid w:val="009A02A1"/>
    <w:rsid w:val="009A6E05"/>
    <w:rsid w:val="009B2C0B"/>
    <w:rsid w:val="009B5327"/>
    <w:rsid w:val="009B7038"/>
    <w:rsid w:val="009B7AC6"/>
    <w:rsid w:val="009D2712"/>
    <w:rsid w:val="009D3335"/>
    <w:rsid w:val="009E0B47"/>
    <w:rsid w:val="009E135A"/>
    <w:rsid w:val="009E75F7"/>
    <w:rsid w:val="009F2FBC"/>
    <w:rsid w:val="009F7248"/>
    <w:rsid w:val="009F75A0"/>
    <w:rsid w:val="00A0094A"/>
    <w:rsid w:val="00A02CD8"/>
    <w:rsid w:val="00A06E21"/>
    <w:rsid w:val="00A12577"/>
    <w:rsid w:val="00A13EFA"/>
    <w:rsid w:val="00A20289"/>
    <w:rsid w:val="00A205B6"/>
    <w:rsid w:val="00A27CE4"/>
    <w:rsid w:val="00A31ACF"/>
    <w:rsid w:val="00A36442"/>
    <w:rsid w:val="00A40D09"/>
    <w:rsid w:val="00A415A5"/>
    <w:rsid w:val="00A455BB"/>
    <w:rsid w:val="00A5440A"/>
    <w:rsid w:val="00A545B9"/>
    <w:rsid w:val="00A571F0"/>
    <w:rsid w:val="00A72286"/>
    <w:rsid w:val="00A72948"/>
    <w:rsid w:val="00A76A09"/>
    <w:rsid w:val="00A9551F"/>
    <w:rsid w:val="00A962B4"/>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3FB"/>
    <w:rsid w:val="00B13791"/>
    <w:rsid w:val="00B14A5F"/>
    <w:rsid w:val="00B17E53"/>
    <w:rsid w:val="00B27D01"/>
    <w:rsid w:val="00B36E31"/>
    <w:rsid w:val="00B42890"/>
    <w:rsid w:val="00B45626"/>
    <w:rsid w:val="00B61B0B"/>
    <w:rsid w:val="00B6222F"/>
    <w:rsid w:val="00B653F4"/>
    <w:rsid w:val="00B73C04"/>
    <w:rsid w:val="00B7525B"/>
    <w:rsid w:val="00B76064"/>
    <w:rsid w:val="00B82E6A"/>
    <w:rsid w:val="00B860B8"/>
    <w:rsid w:val="00B95860"/>
    <w:rsid w:val="00BA2D30"/>
    <w:rsid w:val="00BA3D65"/>
    <w:rsid w:val="00BA5098"/>
    <w:rsid w:val="00BB03E0"/>
    <w:rsid w:val="00BB0960"/>
    <w:rsid w:val="00BB3FCC"/>
    <w:rsid w:val="00BB76F5"/>
    <w:rsid w:val="00BB7B96"/>
    <w:rsid w:val="00BC029A"/>
    <w:rsid w:val="00BC38C5"/>
    <w:rsid w:val="00BD4634"/>
    <w:rsid w:val="00BE33E6"/>
    <w:rsid w:val="00BE49F0"/>
    <w:rsid w:val="00BE4ADC"/>
    <w:rsid w:val="00BE68C2"/>
    <w:rsid w:val="00BF31DC"/>
    <w:rsid w:val="00C00D32"/>
    <w:rsid w:val="00C11F3D"/>
    <w:rsid w:val="00C120B8"/>
    <w:rsid w:val="00C14143"/>
    <w:rsid w:val="00C14327"/>
    <w:rsid w:val="00C23BA6"/>
    <w:rsid w:val="00C27B81"/>
    <w:rsid w:val="00C304AA"/>
    <w:rsid w:val="00C324D9"/>
    <w:rsid w:val="00C339F7"/>
    <w:rsid w:val="00C41773"/>
    <w:rsid w:val="00C41DB4"/>
    <w:rsid w:val="00C50EEC"/>
    <w:rsid w:val="00C53A29"/>
    <w:rsid w:val="00C55170"/>
    <w:rsid w:val="00C724B9"/>
    <w:rsid w:val="00C72DC4"/>
    <w:rsid w:val="00C74410"/>
    <w:rsid w:val="00C77AEC"/>
    <w:rsid w:val="00C84C37"/>
    <w:rsid w:val="00C96625"/>
    <w:rsid w:val="00CA09B2"/>
    <w:rsid w:val="00CA0A1B"/>
    <w:rsid w:val="00CB0941"/>
    <w:rsid w:val="00CB4F3D"/>
    <w:rsid w:val="00CB7B74"/>
    <w:rsid w:val="00CC272D"/>
    <w:rsid w:val="00CC74FB"/>
    <w:rsid w:val="00CC7AD7"/>
    <w:rsid w:val="00CD0527"/>
    <w:rsid w:val="00CD2E35"/>
    <w:rsid w:val="00CD5DD7"/>
    <w:rsid w:val="00CD7CAC"/>
    <w:rsid w:val="00CE1DC8"/>
    <w:rsid w:val="00CE40A2"/>
    <w:rsid w:val="00CE7818"/>
    <w:rsid w:val="00CF1110"/>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41359"/>
    <w:rsid w:val="00D43135"/>
    <w:rsid w:val="00D43323"/>
    <w:rsid w:val="00D52B6F"/>
    <w:rsid w:val="00D65881"/>
    <w:rsid w:val="00D67B67"/>
    <w:rsid w:val="00D70DCE"/>
    <w:rsid w:val="00D713F5"/>
    <w:rsid w:val="00D723EB"/>
    <w:rsid w:val="00D76957"/>
    <w:rsid w:val="00D77761"/>
    <w:rsid w:val="00D77FAF"/>
    <w:rsid w:val="00D83851"/>
    <w:rsid w:val="00D856FA"/>
    <w:rsid w:val="00D9014E"/>
    <w:rsid w:val="00D9657F"/>
    <w:rsid w:val="00D96A95"/>
    <w:rsid w:val="00D96D37"/>
    <w:rsid w:val="00DA4E95"/>
    <w:rsid w:val="00DA5BEA"/>
    <w:rsid w:val="00DB7921"/>
    <w:rsid w:val="00DC28D1"/>
    <w:rsid w:val="00DC2BB7"/>
    <w:rsid w:val="00DC4309"/>
    <w:rsid w:val="00DC4D80"/>
    <w:rsid w:val="00DC5A43"/>
    <w:rsid w:val="00DC5A7B"/>
    <w:rsid w:val="00DD4007"/>
    <w:rsid w:val="00DE08D0"/>
    <w:rsid w:val="00DE177D"/>
    <w:rsid w:val="00DF18BC"/>
    <w:rsid w:val="00DF2622"/>
    <w:rsid w:val="00DF72A3"/>
    <w:rsid w:val="00E0027E"/>
    <w:rsid w:val="00E02524"/>
    <w:rsid w:val="00E0667B"/>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67B54"/>
    <w:rsid w:val="00E73098"/>
    <w:rsid w:val="00E73566"/>
    <w:rsid w:val="00E744B8"/>
    <w:rsid w:val="00E74776"/>
    <w:rsid w:val="00E753C9"/>
    <w:rsid w:val="00E76CB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45C"/>
    <w:rsid w:val="00EE1F2D"/>
    <w:rsid w:val="00EF3599"/>
    <w:rsid w:val="00EF437F"/>
    <w:rsid w:val="00F06D7C"/>
    <w:rsid w:val="00F11C6F"/>
    <w:rsid w:val="00F138DE"/>
    <w:rsid w:val="00F14461"/>
    <w:rsid w:val="00F2186B"/>
    <w:rsid w:val="00F26DF1"/>
    <w:rsid w:val="00F34785"/>
    <w:rsid w:val="00F41692"/>
    <w:rsid w:val="00F4217B"/>
    <w:rsid w:val="00F42640"/>
    <w:rsid w:val="00F44ECD"/>
    <w:rsid w:val="00F45044"/>
    <w:rsid w:val="00F46348"/>
    <w:rsid w:val="00F47647"/>
    <w:rsid w:val="00F556E4"/>
    <w:rsid w:val="00F62CDC"/>
    <w:rsid w:val="00F63079"/>
    <w:rsid w:val="00F66E30"/>
    <w:rsid w:val="00F67BEE"/>
    <w:rsid w:val="00F71D5A"/>
    <w:rsid w:val="00F76875"/>
    <w:rsid w:val="00F843F2"/>
    <w:rsid w:val="00F853AE"/>
    <w:rsid w:val="00FA0020"/>
    <w:rsid w:val="00FB6E4A"/>
    <w:rsid w:val="00FC19EA"/>
    <w:rsid w:val="00FC4F99"/>
    <w:rsid w:val="00FC5C86"/>
    <w:rsid w:val="00FC763D"/>
    <w:rsid w:val="00FC778C"/>
    <w:rsid w:val="00FD49CF"/>
    <w:rsid w:val="00FD5FB6"/>
    <w:rsid w:val="00FD72A6"/>
    <w:rsid w:val="00FD7F0D"/>
    <w:rsid w:val="00FE1E7B"/>
    <w:rsid w:val="00FE4162"/>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57DE79E-CA99-4546-8E9D-32EF1235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47"/>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 w:type="paragraph" w:styleId="PlainText">
    <w:name w:val="Plain Text"/>
    <w:basedOn w:val="Normal"/>
    <w:link w:val="PlainTextChar"/>
    <w:uiPriority w:val="99"/>
    <w:unhideWhenUsed/>
    <w:rsid w:val="00A36442"/>
    <w:rPr>
      <w:rFonts w:ascii="Courier New" w:eastAsiaTheme="minorEastAsia" w:hAnsi="Courier New" w:cs="Courier New"/>
      <w:sz w:val="20"/>
      <w:lang w:eastAsia="ja-JP"/>
    </w:rPr>
  </w:style>
  <w:style w:type="character" w:customStyle="1" w:styleId="PlainTextChar">
    <w:name w:val="Plain Text Char"/>
    <w:basedOn w:val="DefaultParagraphFont"/>
    <w:link w:val="PlainText"/>
    <w:uiPriority w:val="99"/>
    <w:rsid w:val="00A36442"/>
    <w:rPr>
      <w:rFonts w:ascii="Courier New" w:eastAsiaTheme="minorEastAsia" w:hAnsi="Courier New" w:cs="Courier New"/>
    </w:rPr>
  </w:style>
  <w:style w:type="character" w:customStyle="1" w:styleId="fontstyle01">
    <w:name w:val="fontstyle01"/>
    <w:basedOn w:val="DefaultParagraphFont"/>
    <w:rsid w:val="00B45626"/>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32533993">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hyperlink" Target="https://papers.mathyvanhoef.com/usenix2021.pdf"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pers.mathyvanhoef.com/usenix2021.pdf" TargetMode="Externa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802.11-21/1128r5</vt:lpstr>
    </vt:vector>
  </TitlesOfParts>
  <Company>Some Company</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802.11-21/1128r6</dc:title>
  <dc:subject>Submission</dc:subject>
  <dc:creator>Mark RISON</dc:creator>
  <cp:keywords>July 2022</cp:keywords>
  <dc:description/>
  <cp:lastModifiedBy>Mark Rison</cp:lastModifiedBy>
  <cp:revision>3</cp:revision>
  <cp:lastPrinted>2021-04-21T15:41:00Z</cp:lastPrinted>
  <dcterms:created xsi:type="dcterms:W3CDTF">2022-06-16T17:39:00Z</dcterms:created>
  <dcterms:modified xsi:type="dcterms:W3CDTF">2022-06-16T17:40:00Z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