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16F0EC9B"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0C2588">
              <w:rPr>
                <w:b w:val="0"/>
                <w:sz w:val="20"/>
              </w:rPr>
              <w:t>7</w:t>
            </w:r>
            <w:r w:rsidR="00060618">
              <w:rPr>
                <w:b w:val="0"/>
                <w:sz w:val="20"/>
              </w:rPr>
              <w:t>-</w:t>
            </w:r>
            <w:r w:rsidR="00910A25">
              <w:rPr>
                <w:b w:val="0"/>
                <w:sz w:val="20"/>
              </w:rPr>
              <w:t>12</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84617C"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4295EE04" w14:textId="0FB0B643" w:rsidR="00DD455B" w:rsidRPr="00D84E12" w:rsidRDefault="00DD455B" w:rsidP="00D84E12">
                            <w:r>
                              <w:t xml:space="preserve">R1 – </w:t>
                            </w:r>
                          </w:p>
                          <w:p w14:paraId="32A09D8E" w14:textId="0CD8EB9E" w:rsidR="00DD455B" w:rsidRDefault="00DD455B" w:rsidP="006B0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4295EE04" w14:textId="0FB0B643" w:rsidR="00DD455B" w:rsidRPr="00D84E12" w:rsidRDefault="00DD455B" w:rsidP="00D84E12">
                      <w:r>
                        <w:t xml:space="preserve">R1 – </w:t>
                      </w:r>
                    </w:p>
                    <w:p w14:paraId="32A09D8E" w14:textId="0CD8EB9E" w:rsidR="00DD455B" w:rsidRDefault="00DD455B" w:rsidP="006B0AA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2"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343" w:type="dxa"/>
        <w:tblLook w:val="04A0" w:firstRow="1" w:lastRow="0" w:firstColumn="1" w:lastColumn="0" w:noHBand="0" w:noVBand="1"/>
      </w:tblPr>
      <w:tblGrid>
        <w:gridCol w:w="758"/>
        <w:gridCol w:w="1398"/>
        <w:gridCol w:w="1039"/>
        <w:gridCol w:w="773"/>
        <w:gridCol w:w="2489"/>
        <w:gridCol w:w="3886"/>
      </w:tblGrid>
      <w:tr w:rsidR="007757BF" w:rsidRPr="007757BF" w14:paraId="3CDF0F52" w14:textId="77777777" w:rsidTr="007757BF">
        <w:trPr>
          <w:trHeight w:val="3060"/>
        </w:trPr>
        <w:tc>
          <w:tcPr>
            <w:tcW w:w="758"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7757BF" w:rsidRPr="007757BF" w:rsidRDefault="007757BF" w:rsidP="007757BF">
            <w:pPr>
              <w:spacing w:after="0"/>
              <w:jc w:val="right"/>
              <w:rPr>
                <w:rFonts w:ascii="Arial" w:hAnsi="Arial" w:cs="Arial"/>
                <w:sz w:val="20"/>
                <w:lang w:val="en-US"/>
              </w:rPr>
            </w:pPr>
            <w:r w:rsidRPr="007757BF">
              <w:rPr>
                <w:rFonts w:ascii="Arial" w:hAnsi="Arial" w:cs="Arial"/>
                <w:sz w:val="20"/>
                <w:lang w:val="en-US"/>
              </w:rPr>
              <w:t>5171</w:t>
            </w:r>
          </w:p>
        </w:tc>
        <w:tc>
          <w:tcPr>
            <w:tcW w:w="1398" w:type="dxa"/>
            <w:tcBorders>
              <w:top w:val="single" w:sz="4" w:space="0" w:color="333300"/>
              <w:left w:val="nil"/>
              <w:bottom w:val="single" w:sz="4" w:space="0" w:color="333300"/>
              <w:right w:val="single" w:sz="4" w:space="0" w:color="333300"/>
            </w:tcBorders>
            <w:shd w:val="clear" w:color="auto" w:fill="auto"/>
            <w:hideMark/>
          </w:tcPr>
          <w:p w14:paraId="6F915AA0" w14:textId="77777777" w:rsidR="007757BF" w:rsidRPr="007757BF" w:rsidRDefault="007757BF"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1039" w:type="dxa"/>
            <w:tcBorders>
              <w:top w:val="single" w:sz="4" w:space="0" w:color="333300"/>
              <w:left w:val="nil"/>
              <w:bottom w:val="single" w:sz="4" w:space="0" w:color="333300"/>
              <w:right w:val="single" w:sz="4" w:space="0" w:color="333300"/>
            </w:tcBorders>
            <w:shd w:val="clear" w:color="auto" w:fill="auto"/>
            <w:hideMark/>
          </w:tcPr>
          <w:p w14:paraId="66865586"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3.2</w:t>
            </w:r>
          </w:p>
        </w:tc>
        <w:tc>
          <w:tcPr>
            <w:tcW w:w="773" w:type="dxa"/>
            <w:tcBorders>
              <w:top w:val="single" w:sz="4" w:space="0" w:color="333300"/>
              <w:left w:val="nil"/>
              <w:bottom w:val="single" w:sz="4" w:space="0" w:color="333300"/>
              <w:right w:val="single" w:sz="4" w:space="0" w:color="333300"/>
            </w:tcBorders>
            <w:shd w:val="clear" w:color="auto" w:fill="auto"/>
            <w:hideMark/>
          </w:tcPr>
          <w:p w14:paraId="4A8BE672"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41.16</w:t>
            </w:r>
          </w:p>
        </w:tc>
        <w:tc>
          <w:tcPr>
            <w:tcW w:w="2489" w:type="dxa"/>
            <w:tcBorders>
              <w:top w:val="single" w:sz="4" w:space="0" w:color="333300"/>
              <w:left w:val="nil"/>
              <w:bottom w:val="single" w:sz="4" w:space="0" w:color="333300"/>
              <w:right w:val="single" w:sz="4" w:space="0" w:color="333300"/>
            </w:tcBorders>
            <w:shd w:val="clear" w:color="auto" w:fill="auto"/>
            <w:hideMark/>
          </w:tcPr>
          <w:p w14:paraId="74148B69"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3886" w:type="dxa"/>
            <w:tcBorders>
              <w:top w:val="single" w:sz="4" w:space="0" w:color="333300"/>
              <w:left w:val="nil"/>
              <w:bottom w:val="single" w:sz="4" w:space="0" w:color="333300"/>
              <w:right w:val="single" w:sz="4" w:space="0" w:color="333300"/>
            </w:tcBorders>
            <w:shd w:val="clear" w:color="auto" w:fill="auto"/>
            <w:hideMark/>
          </w:tcPr>
          <w:p w14:paraId="53353FD7"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Please add a note below the MLD definition, e.g.</w:t>
            </w:r>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r>
      <w:tr w:rsidR="007757BF" w:rsidRPr="007757BF" w14:paraId="0DEF21DF" w14:textId="77777777" w:rsidTr="007757BF">
        <w:trPr>
          <w:trHeight w:val="1275"/>
        </w:trPr>
        <w:tc>
          <w:tcPr>
            <w:tcW w:w="758" w:type="dxa"/>
            <w:tcBorders>
              <w:top w:val="nil"/>
              <w:left w:val="single" w:sz="4" w:space="0" w:color="333300"/>
              <w:bottom w:val="single" w:sz="4" w:space="0" w:color="333300"/>
              <w:right w:val="single" w:sz="4" w:space="0" w:color="333300"/>
            </w:tcBorders>
            <w:shd w:val="clear" w:color="auto" w:fill="auto"/>
            <w:hideMark/>
          </w:tcPr>
          <w:p w14:paraId="545B8C10" w14:textId="77777777" w:rsidR="007757BF" w:rsidRPr="007757BF" w:rsidRDefault="007757BF" w:rsidP="007757BF">
            <w:pPr>
              <w:spacing w:after="0"/>
              <w:jc w:val="right"/>
              <w:rPr>
                <w:rFonts w:ascii="Arial" w:hAnsi="Arial" w:cs="Arial"/>
                <w:sz w:val="20"/>
                <w:lang w:val="en-US"/>
              </w:rPr>
            </w:pPr>
            <w:r w:rsidRPr="007757BF">
              <w:rPr>
                <w:rFonts w:ascii="Arial" w:hAnsi="Arial" w:cs="Arial"/>
                <w:sz w:val="20"/>
                <w:lang w:val="en-US"/>
              </w:rPr>
              <w:t>5172</w:t>
            </w:r>
          </w:p>
        </w:tc>
        <w:tc>
          <w:tcPr>
            <w:tcW w:w="1398" w:type="dxa"/>
            <w:tcBorders>
              <w:top w:val="nil"/>
              <w:left w:val="nil"/>
              <w:bottom w:val="single" w:sz="4" w:space="0" w:color="333300"/>
              <w:right w:val="single" w:sz="4" w:space="0" w:color="333300"/>
            </w:tcBorders>
            <w:shd w:val="clear" w:color="auto" w:fill="auto"/>
            <w:hideMark/>
          </w:tcPr>
          <w:p w14:paraId="57192265" w14:textId="77777777" w:rsidR="007757BF" w:rsidRPr="007757BF" w:rsidRDefault="007757BF"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1039" w:type="dxa"/>
            <w:tcBorders>
              <w:top w:val="nil"/>
              <w:left w:val="nil"/>
              <w:bottom w:val="single" w:sz="4" w:space="0" w:color="333300"/>
              <w:right w:val="single" w:sz="4" w:space="0" w:color="333300"/>
            </w:tcBorders>
            <w:shd w:val="clear" w:color="auto" w:fill="auto"/>
            <w:hideMark/>
          </w:tcPr>
          <w:p w14:paraId="3C62936C"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4.9</w:t>
            </w:r>
          </w:p>
        </w:tc>
        <w:tc>
          <w:tcPr>
            <w:tcW w:w="773" w:type="dxa"/>
            <w:tcBorders>
              <w:top w:val="nil"/>
              <w:left w:val="nil"/>
              <w:bottom w:val="single" w:sz="4" w:space="0" w:color="333300"/>
              <w:right w:val="single" w:sz="4" w:space="0" w:color="333300"/>
            </w:tcBorders>
            <w:shd w:val="clear" w:color="auto" w:fill="auto"/>
            <w:hideMark/>
          </w:tcPr>
          <w:p w14:paraId="2CBE57A6"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49.44</w:t>
            </w:r>
          </w:p>
        </w:tc>
        <w:tc>
          <w:tcPr>
            <w:tcW w:w="2489" w:type="dxa"/>
            <w:tcBorders>
              <w:top w:val="nil"/>
              <w:left w:val="nil"/>
              <w:bottom w:val="single" w:sz="4" w:space="0" w:color="333300"/>
              <w:right w:val="single" w:sz="4" w:space="0" w:color="333300"/>
            </w:tcBorders>
            <w:shd w:val="clear" w:color="auto" w:fill="auto"/>
            <w:hideMark/>
          </w:tcPr>
          <w:p w14:paraId="1D3544BD"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3886" w:type="dxa"/>
            <w:tcBorders>
              <w:top w:val="nil"/>
              <w:left w:val="nil"/>
              <w:bottom w:val="single" w:sz="4" w:space="0" w:color="333300"/>
              <w:right w:val="single" w:sz="4" w:space="0" w:color="333300"/>
            </w:tcBorders>
            <w:shd w:val="clear" w:color="auto" w:fill="auto"/>
            <w:hideMark/>
          </w:tcPr>
          <w:p w14:paraId="1F9ABA70"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As in comment.</w:t>
            </w:r>
          </w:p>
        </w:tc>
      </w:tr>
      <w:tr w:rsidR="007757BF" w:rsidRPr="007757BF" w14:paraId="7AC69C3A" w14:textId="77777777" w:rsidTr="007757BF">
        <w:trPr>
          <w:trHeight w:val="1785"/>
        </w:trPr>
        <w:tc>
          <w:tcPr>
            <w:tcW w:w="758" w:type="dxa"/>
            <w:tcBorders>
              <w:top w:val="nil"/>
              <w:left w:val="single" w:sz="4" w:space="0" w:color="333300"/>
              <w:bottom w:val="single" w:sz="4" w:space="0" w:color="333300"/>
              <w:right w:val="single" w:sz="4" w:space="0" w:color="333300"/>
            </w:tcBorders>
            <w:shd w:val="clear" w:color="auto" w:fill="auto"/>
            <w:hideMark/>
          </w:tcPr>
          <w:p w14:paraId="29F330EB" w14:textId="77777777" w:rsidR="007757BF" w:rsidRPr="007757BF" w:rsidRDefault="007757BF" w:rsidP="007757BF">
            <w:pPr>
              <w:spacing w:after="0"/>
              <w:jc w:val="right"/>
              <w:rPr>
                <w:rFonts w:ascii="Arial" w:hAnsi="Arial" w:cs="Arial"/>
                <w:sz w:val="20"/>
                <w:lang w:val="en-US"/>
              </w:rPr>
            </w:pPr>
            <w:r w:rsidRPr="007757BF">
              <w:rPr>
                <w:rFonts w:ascii="Arial" w:hAnsi="Arial" w:cs="Arial"/>
                <w:sz w:val="20"/>
                <w:lang w:val="en-US"/>
              </w:rPr>
              <w:t>5173</w:t>
            </w:r>
          </w:p>
        </w:tc>
        <w:tc>
          <w:tcPr>
            <w:tcW w:w="1398" w:type="dxa"/>
            <w:tcBorders>
              <w:top w:val="nil"/>
              <w:left w:val="nil"/>
              <w:bottom w:val="single" w:sz="4" w:space="0" w:color="333300"/>
              <w:right w:val="single" w:sz="4" w:space="0" w:color="333300"/>
            </w:tcBorders>
            <w:shd w:val="clear" w:color="auto" w:fill="auto"/>
            <w:hideMark/>
          </w:tcPr>
          <w:p w14:paraId="71A87718" w14:textId="77777777" w:rsidR="007757BF" w:rsidRPr="007757BF" w:rsidRDefault="007757BF"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1039" w:type="dxa"/>
            <w:tcBorders>
              <w:top w:val="nil"/>
              <w:left w:val="nil"/>
              <w:bottom w:val="single" w:sz="4" w:space="0" w:color="333300"/>
              <w:right w:val="single" w:sz="4" w:space="0" w:color="333300"/>
            </w:tcBorders>
            <w:shd w:val="clear" w:color="auto" w:fill="auto"/>
            <w:hideMark/>
          </w:tcPr>
          <w:p w14:paraId="7603E8FB"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7.1</w:t>
            </w:r>
          </w:p>
        </w:tc>
        <w:tc>
          <w:tcPr>
            <w:tcW w:w="773" w:type="dxa"/>
            <w:tcBorders>
              <w:top w:val="nil"/>
              <w:left w:val="nil"/>
              <w:bottom w:val="single" w:sz="4" w:space="0" w:color="333300"/>
              <w:right w:val="single" w:sz="4" w:space="0" w:color="333300"/>
            </w:tcBorders>
            <w:shd w:val="clear" w:color="auto" w:fill="auto"/>
            <w:hideMark/>
          </w:tcPr>
          <w:p w14:paraId="0F0DCCE3"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0.00</w:t>
            </w:r>
          </w:p>
        </w:tc>
        <w:tc>
          <w:tcPr>
            <w:tcW w:w="2489" w:type="dxa"/>
            <w:tcBorders>
              <w:top w:val="nil"/>
              <w:left w:val="nil"/>
              <w:bottom w:val="single" w:sz="4" w:space="0" w:color="333300"/>
              <w:right w:val="single" w:sz="4" w:space="0" w:color="333300"/>
            </w:tcBorders>
            <w:shd w:val="clear" w:color="auto" w:fill="auto"/>
            <w:hideMark/>
          </w:tcPr>
          <w:p w14:paraId="1F79E2EE"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3886" w:type="dxa"/>
            <w:tcBorders>
              <w:top w:val="nil"/>
              <w:left w:val="nil"/>
              <w:bottom w:val="single" w:sz="4" w:space="0" w:color="333300"/>
              <w:right w:val="single" w:sz="4" w:space="0" w:color="333300"/>
            </w:tcBorders>
            <w:shd w:val="clear" w:color="auto" w:fill="auto"/>
            <w:hideMark/>
          </w:tcPr>
          <w:p w14:paraId="22037C5C"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As in comment.</w:t>
            </w:r>
          </w:p>
        </w:tc>
      </w:tr>
      <w:tr w:rsidR="007757BF" w:rsidRPr="007757BF" w14:paraId="78E4B5CE" w14:textId="77777777" w:rsidTr="007757BF">
        <w:trPr>
          <w:trHeight w:val="2550"/>
        </w:trPr>
        <w:tc>
          <w:tcPr>
            <w:tcW w:w="758" w:type="dxa"/>
            <w:tcBorders>
              <w:top w:val="nil"/>
              <w:left w:val="single" w:sz="4" w:space="0" w:color="333300"/>
              <w:bottom w:val="single" w:sz="4" w:space="0" w:color="333300"/>
              <w:right w:val="single" w:sz="4" w:space="0" w:color="333300"/>
            </w:tcBorders>
            <w:shd w:val="clear" w:color="auto" w:fill="auto"/>
            <w:hideMark/>
          </w:tcPr>
          <w:p w14:paraId="6DB9B862" w14:textId="77777777" w:rsidR="007757BF" w:rsidRPr="007757BF" w:rsidRDefault="007757BF" w:rsidP="007757BF">
            <w:pPr>
              <w:spacing w:after="0"/>
              <w:jc w:val="right"/>
              <w:rPr>
                <w:rFonts w:ascii="Arial" w:hAnsi="Arial" w:cs="Arial"/>
                <w:sz w:val="20"/>
                <w:lang w:val="en-US"/>
              </w:rPr>
            </w:pPr>
            <w:r w:rsidRPr="007757BF">
              <w:rPr>
                <w:rFonts w:ascii="Arial" w:hAnsi="Arial" w:cs="Arial"/>
                <w:sz w:val="20"/>
                <w:lang w:val="en-US"/>
              </w:rPr>
              <w:t>6187</w:t>
            </w:r>
          </w:p>
        </w:tc>
        <w:tc>
          <w:tcPr>
            <w:tcW w:w="1398" w:type="dxa"/>
            <w:tcBorders>
              <w:top w:val="nil"/>
              <w:left w:val="nil"/>
              <w:bottom w:val="single" w:sz="4" w:space="0" w:color="333300"/>
              <w:right w:val="single" w:sz="4" w:space="0" w:color="333300"/>
            </w:tcBorders>
            <w:shd w:val="clear" w:color="auto" w:fill="auto"/>
            <w:hideMark/>
          </w:tcPr>
          <w:p w14:paraId="08E38BC7"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Michael Montemurro</w:t>
            </w:r>
          </w:p>
        </w:tc>
        <w:tc>
          <w:tcPr>
            <w:tcW w:w="1039" w:type="dxa"/>
            <w:tcBorders>
              <w:top w:val="nil"/>
              <w:left w:val="nil"/>
              <w:bottom w:val="single" w:sz="4" w:space="0" w:color="333300"/>
              <w:right w:val="single" w:sz="4" w:space="0" w:color="333300"/>
            </w:tcBorders>
            <w:shd w:val="clear" w:color="auto" w:fill="auto"/>
            <w:hideMark/>
          </w:tcPr>
          <w:p w14:paraId="07FADD72"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4</w:t>
            </w:r>
          </w:p>
        </w:tc>
        <w:tc>
          <w:tcPr>
            <w:tcW w:w="773" w:type="dxa"/>
            <w:tcBorders>
              <w:top w:val="nil"/>
              <w:left w:val="nil"/>
              <w:bottom w:val="single" w:sz="4" w:space="0" w:color="333300"/>
              <w:right w:val="single" w:sz="4" w:space="0" w:color="333300"/>
            </w:tcBorders>
            <w:shd w:val="clear" w:color="auto" w:fill="auto"/>
            <w:hideMark/>
          </w:tcPr>
          <w:p w14:paraId="3E0E006F"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45.01</w:t>
            </w:r>
          </w:p>
        </w:tc>
        <w:tc>
          <w:tcPr>
            <w:tcW w:w="2489" w:type="dxa"/>
            <w:tcBorders>
              <w:top w:val="nil"/>
              <w:left w:val="nil"/>
              <w:bottom w:val="single" w:sz="4" w:space="0" w:color="333300"/>
              <w:right w:val="single" w:sz="4" w:space="0" w:color="333300"/>
            </w:tcBorders>
            <w:shd w:val="clear" w:color="auto" w:fill="auto"/>
            <w:hideMark/>
          </w:tcPr>
          <w:p w14:paraId="3A3367A2"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3886" w:type="dxa"/>
            <w:tcBorders>
              <w:top w:val="nil"/>
              <w:left w:val="nil"/>
              <w:bottom w:val="single" w:sz="4" w:space="0" w:color="333300"/>
              <w:right w:val="single" w:sz="4" w:space="0" w:color="333300"/>
            </w:tcBorders>
            <w:shd w:val="clear" w:color="auto" w:fill="auto"/>
            <w:hideMark/>
          </w:tcPr>
          <w:p w14:paraId="611B8C5D"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r>
      <w:tr w:rsidR="007757BF" w:rsidRPr="007757BF" w14:paraId="12A8CFC7" w14:textId="77777777" w:rsidTr="007757BF">
        <w:trPr>
          <w:trHeight w:val="1530"/>
        </w:trPr>
        <w:tc>
          <w:tcPr>
            <w:tcW w:w="758" w:type="dxa"/>
            <w:tcBorders>
              <w:top w:val="nil"/>
              <w:left w:val="single" w:sz="4" w:space="0" w:color="333300"/>
              <w:bottom w:val="single" w:sz="4" w:space="0" w:color="333300"/>
              <w:right w:val="single" w:sz="4" w:space="0" w:color="333300"/>
            </w:tcBorders>
            <w:shd w:val="clear" w:color="auto" w:fill="auto"/>
            <w:hideMark/>
          </w:tcPr>
          <w:p w14:paraId="791FA0DC" w14:textId="77777777" w:rsidR="007757BF" w:rsidRPr="007757BF" w:rsidRDefault="007757BF" w:rsidP="007757BF">
            <w:pPr>
              <w:spacing w:after="0"/>
              <w:jc w:val="right"/>
              <w:rPr>
                <w:rFonts w:ascii="Arial" w:hAnsi="Arial" w:cs="Arial"/>
                <w:sz w:val="20"/>
                <w:lang w:val="en-US"/>
              </w:rPr>
            </w:pPr>
            <w:r w:rsidRPr="007757BF">
              <w:rPr>
                <w:rFonts w:ascii="Arial" w:hAnsi="Arial" w:cs="Arial"/>
                <w:sz w:val="20"/>
                <w:lang w:val="en-US"/>
              </w:rPr>
              <w:t>7349</w:t>
            </w:r>
          </w:p>
        </w:tc>
        <w:tc>
          <w:tcPr>
            <w:tcW w:w="1398" w:type="dxa"/>
            <w:tcBorders>
              <w:top w:val="nil"/>
              <w:left w:val="nil"/>
              <w:bottom w:val="single" w:sz="4" w:space="0" w:color="333300"/>
              <w:right w:val="single" w:sz="4" w:space="0" w:color="333300"/>
            </w:tcBorders>
            <w:shd w:val="clear" w:color="auto" w:fill="auto"/>
            <w:hideMark/>
          </w:tcPr>
          <w:p w14:paraId="4D6B1008"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Stephen McCann</w:t>
            </w:r>
          </w:p>
        </w:tc>
        <w:tc>
          <w:tcPr>
            <w:tcW w:w="1039" w:type="dxa"/>
            <w:tcBorders>
              <w:top w:val="nil"/>
              <w:left w:val="nil"/>
              <w:bottom w:val="single" w:sz="4" w:space="0" w:color="333300"/>
              <w:right w:val="single" w:sz="4" w:space="0" w:color="333300"/>
            </w:tcBorders>
            <w:shd w:val="clear" w:color="auto" w:fill="auto"/>
            <w:hideMark/>
          </w:tcPr>
          <w:p w14:paraId="23279599"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3.2</w:t>
            </w:r>
          </w:p>
        </w:tc>
        <w:tc>
          <w:tcPr>
            <w:tcW w:w="773" w:type="dxa"/>
            <w:tcBorders>
              <w:top w:val="nil"/>
              <w:left w:val="nil"/>
              <w:bottom w:val="single" w:sz="4" w:space="0" w:color="333300"/>
              <w:right w:val="single" w:sz="4" w:space="0" w:color="333300"/>
            </w:tcBorders>
            <w:shd w:val="clear" w:color="auto" w:fill="auto"/>
            <w:hideMark/>
          </w:tcPr>
          <w:p w14:paraId="40A2D47E"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41.12</w:t>
            </w:r>
          </w:p>
        </w:tc>
        <w:tc>
          <w:tcPr>
            <w:tcW w:w="2489" w:type="dxa"/>
            <w:tcBorders>
              <w:top w:val="nil"/>
              <w:left w:val="nil"/>
              <w:bottom w:val="single" w:sz="4" w:space="0" w:color="333300"/>
              <w:right w:val="single" w:sz="4" w:space="0" w:color="333300"/>
            </w:tcBorders>
            <w:shd w:val="clear" w:color="auto" w:fill="auto"/>
            <w:hideMark/>
          </w:tcPr>
          <w:p w14:paraId="41BEAB4F"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3886" w:type="dxa"/>
            <w:tcBorders>
              <w:top w:val="nil"/>
              <w:left w:val="nil"/>
              <w:bottom w:val="single" w:sz="4" w:space="0" w:color="333300"/>
              <w:right w:val="single" w:sz="4" w:space="0" w:color="333300"/>
            </w:tcBorders>
            <w:shd w:val="clear" w:color="auto" w:fill="auto"/>
            <w:hideMark/>
          </w:tcPr>
          <w:p w14:paraId="4ABEBEC1" w14:textId="77777777" w:rsidR="007757BF" w:rsidRPr="007757BF" w:rsidRDefault="007757BF"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w:t>
      </w:r>
      <w:proofErr w:type="gramStart"/>
      <w:r w:rsidRPr="005F1267">
        <w:rPr>
          <w:sz w:val="20"/>
        </w:rPr>
        <w:t>But,</w:t>
      </w:r>
      <w:proofErr w:type="gramEnd"/>
      <w:r w:rsidRPr="005F1267">
        <w:rPr>
          <w:sz w:val="20"/>
        </w:rPr>
        <w:t xml:space="preserve">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26E12165" w14:textId="24FA2570"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w:t>
      </w:r>
      <w:proofErr w:type="gramStart"/>
      <w:r w:rsidRPr="005F1267">
        <w:rPr>
          <w:sz w:val="20"/>
        </w:rPr>
        <w:t>similar to</w:t>
      </w:r>
      <w:proofErr w:type="gramEnd"/>
      <w:r w:rsidRPr="005F1267">
        <w:rPr>
          <w:sz w:val="20"/>
        </w:rPr>
        <w:t xml:space="preserve">: </w:t>
      </w:r>
    </w:p>
    <w:p w14:paraId="0457FBAC" w14:textId="77777777" w:rsidR="005F1267" w:rsidRDefault="001C7265" w:rsidP="005F1267">
      <w:pPr>
        <w:ind w:left="720"/>
        <w:rPr>
          <w:sz w:val="20"/>
        </w:rPr>
      </w:pPr>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5746EFA5" w:rsidR="00766AFB" w:rsidRDefault="00766AFB" w:rsidP="007D6E10">
      <w:pPr>
        <w:rPr>
          <w:sz w:val="20"/>
        </w:rPr>
      </w:pPr>
      <w:r>
        <w:rPr>
          <w:sz w:val="20"/>
        </w:rPr>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4B8EEF2"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Authenticator/Supplicant per link paired with the link’s specific RSNA key management.  Thus, our architectural model for an MLD needs to be extended to add these RSN facilities per link, for the group addressed frames and group key handling.</w:t>
      </w:r>
    </w:p>
    <w:p w14:paraId="65510C6A" w14:textId="265C0715" w:rsidR="00DA2809" w:rsidRDefault="00DA2809" w:rsidP="007D6E10">
      <w:pPr>
        <w:rPr>
          <w:sz w:val="20"/>
        </w:rPr>
      </w:pPr>
      <w:r>
        <w:rPr>
          <w:sz w:val="20"/>
        </w:rPr>
        <w:lastRenderedPageBreak/>
        <w:t>Note that these RSN facilities are the same ones as used by the affiliated STA 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280EF99A" w14:textId="0BF5EDF1" w:rsidR="00DA2809" w:rsidRPr="00DA2809" w:rsidRDefault="00091B02" w:rsidP="007D6E10">
      <w:pPr>
        <w:rPr>
          <w:sz w:val="20"/>
        </w:rPr>
      </w:pPr>
      <w:r>
        <w:rPr>
          <w:sz w:val="20"/>
        </w:rPr>
        <w:t xml:space="preserve">Legacy operation of the affiliated STAs/APs collocated with an AP or non-AP MLD is a key feature, which raises some architectural details.  </w:t>
      </w:r>
      <w:proofErr w:type="gramStart"/>
      <w:r w:rsidR="00DD455B">
        <w:rPr>
          <w:sz w:val="20"/>
        </w:rPr>
        <w:t>In particular, since</w:t>
      </w:r>
      <w:proofErr w:type="gramEnd"/>
      <w:r w:rsidR="00DD455B">
        <w:rPr>
          <w:sz w:val="20"/>
        </w:rPr>
        <w:t xml:space="preserv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77777777"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02E4B361"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 xml:space="preserve">of a non-MLD STA that </w:t>
      </w:r>
      <w:r w:rsidRPr="005F1267">
        <w:rPr>
          <w:sz w:val="20"/>
        </w:rPr>
        <w:t>perform functionalities</w:t>
      </w:r>
      <w:r w:rsidR="00A67CAB">
        <w:rPr>
          <w:sz w:val="20"/>
        </w:rPr>
        <w:t xml:space="preserve"> above the lower MAC sublayer for </w:t>
      </w:r>
      <w:proofErr w:type="gramStart"/>
      <w:r w:rsidR="00A67CAB">
        <w:rPr>
          <w:sz w:val="20"/>
        </w:rPr>
        <w:t>link-specific</w:t>
      </w:r>
      <w:proofErr w:type="gramEnd"/>
      <w:r w:rsidR="00A67CAB">
        <w:rPr>
          <w:sz w:val="20"/>
        </w:rPr>
        <w:t xml:space="preserve"> (non-MLD) traffic, and for group addressed MLD traffic if co-located with an MLD.</w:t>
      </w:r>
    </w:p>
    <w:p w14:paraId="34B5C371" w14:textId="1BAE2B9E"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 xml:space="preserve">that shows how these co-located MLD and non-MLD sublayers relate to each other, </w:t>
      </w:r>
      <w:proofErr w:type="gramStart"/>
      <w:r>
        <w:rPr>
          <w:sz w:val="20"/>
        </w:rPr>
        <w:t>similar to</w:t>
      </w:r>
      <w:proofErr w:type="gramEnd"/>
      <w:r>
        <w:rPr>
          <w:sz w:val="20"/>
        </w:rPr>
        <w:t xml:space="preserve">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a co-located MLD and its affiliated STAs 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04768948" w:rsidR="007F0844" w:rsidRDefault="007F0844" w:rsidP="007D6E10">
      <w:pPr>
        <w:rPr>
          <w:sz w:val="20"/>
        </w:rPr>
      </w:pPr>
      <w:r>
        <w:rPr>
          <w:sz w:val="20"/>
        </w:rPr>
        <w:t>Figure 5-2a is slightly modified, to show the MPDU distribution function at the top of the MLD lower MAC sublayer (distributing to the MLD or an affiliated AP, based on a mapping from the TA).  Also, editorially, 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p>
    <w:p w14:paraId="1DC090CB" w14:textId="77777777" w:rsidR="007F0844" w:rsidRPr="007F0844" w:rsidRDefault="007F0844"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77777777"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w:t>
      </w:r>
      <w:proofErr w:type="gramStart"/>
      <w:r>
        <w:rPr>
          <w:sz w:val="20"/>
        </w:rPr>
        <w:t>actually the</w:t>
      </w:r>
      <w:proofErr w:type="gramEnd"/>
      <w:r>
        <w:rPr>
          <w:sz w:val="20"/>
        </w:rPr>
        <w:t xml:space="preserve"> non-MLD upper MAC sublayer of an affiliated STA/AP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r>
        <w:rPr>
          <w:sz w:val="20"/>
        </w:rPr>
        <w:t xml:space="preserve">And,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save </w:t>
      </w:r>
      <w:r>
        <w:rPr>
          <w:rFonts w:eastAsia="Times New Roman"/>
          <w:sz w:val="20"/>
          <w:szCs w:val="20"/>
        </w:rPr>
        <w:t>state and mode</w:t>
      </w:r>
    </w:p>
    <w:p w14:paraId="6FB1C04D" w14:textId="77777777" w:rsidR="00AC77CE" w:rsidRDefault="00AC77CE" w:rsidP="007D6E10">
      <w:pPr>
        <w:rPr>
          <w:b/>
          <w:bCs/>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 xml:space="preserve">el, to expand on these </w:t>
      </w:r>
      <w:r w:rsidR="003D568F">
        <w:rPr>
          <w:sz w:val="20"/>
        </w:rPr>
        <w:lastRenderedPageBreak/>
        <w:t>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w:t>
      </w:r>
      <w:proofErr w:type="gramStart"/>
      <w:r>
        <w:rPr>
          <w:sz w:val="20"/>
        </w:rPr>
        <w:t>2a</w:t>
      </w:r>
      <w:r w:rsidR="00E21528">
        <w:rPr>
          <w:sz w:val="20"/>
        </w:rPr>
        <w:t>, and</w:t>
      </w:r>
      <w:proofErr w:type="gramEnd"/>
      <w:r w:rsidR="00E21528">
        <w:rPr>
          <w:sz w:val="20"/>
        </w:rPr>
        <w:t xml:space="preserve">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w:t>
      </w:r>
      <w:proofErr w:type="gramStart"/>
      <w:r w:rsidR="00D7559A">
        <w:rPr>
          <w:b/>
          <w:bCs/>
          <w:i/>
          <w:iCs/>
          <w:color w:val="000000"/>
          <w:spacing w:val="-2"/>
          <w:sz w:val="20"/>
          <w:highlight w:val="yellow"/>
        </w:rPr>
        <w:t>5</w:t>
      </w:r>
      <w:r w:rsidR="00F76A2D">
        <w:rPr>
          <w:b/>
          <w:bCs/>
          <w:i/>
          <w:iCs/>
          <w:color w:val="000000"/>
          <w:spacing w:val="-2"/>
          <w:sz w:val="20"/>
          <w:highlight w:val="yellow"/>
        </w:rPr>
        <w:t>, and</w:t>
      </w:r>
      <w:proofErr w:type="gramEnd"/>
      <w:r w:rsidR="00F76A2D">
        <w:rPr>
          <w:b/>
          <w:bCs/>
          <w:i/>
          <w:iCs/>
          <w:color w:val="000000"/>
          <w:spacing w:val="-2"/>
          <w:sz w:val="20"/>
          <w:highlight w:val="yellow"/>
        </w:rPr>
        <w:t xml:space="preserve">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3"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3"/>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5pt;height:260.4pt" o:ole="">
            <v:imagedata r:id="rId9" o:title=""/>
          </v:shape>
          <o:OLEObject Type="Embed" ProgID="Visio.Drawing.11" ShapeID="_x0000_i1025" DrawAspect="Content" ObjectID="_1687580527" r:id="rId10"/>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lastRenderedPageBreak/>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sidR="00ED3ED8">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4pt;height:396.5pt" o:ole="">
            <v:imagedata r:id="rId11" o:title=""/>
          </v:shape>
          <o:OLEObject Type="Embed" ProgID="Visio.Drawing.15" ShapeID="_x0000_i1026" DrawAspect="Content" ObjectID="_1687580528" r:id="rId12"/>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6F93F732" w:rsidR="005269D4" w:rsidRPr="00414D17" w:rsidRDefault="00D75AD8" w:rsidP="005269D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r w:rsidR="004F18C1" w:rsidRPr="00414D17">
        <w:rPr>
          <w:sz w:val="20"/>
          <w:u w:val="single"/>
        </w:rPr>
        <w:t>.</w:t>
      </w:r>
    </w:p>
    <w:p w14:paraId="468B65C8" w14:textId="03893870" w:rsidR="00D75AD8" w:rsidRPr="00414D17" w:rsidRDefault="00420DBC" w:rsidP="009816B2">
      <w:pPr>
        <w:suppressAutoHyphens/>
        <w:jc w:val="center"/>
        <w:rPr>
          <w:u w:val="single"/>
        </w:rPr>
      </w:pPr>
      <w:r>
        <w:object w:dxaOrig="16486" w:dyaOrig="11790" w14:anchorId="12FA8023">
          <v:shape id="_x0000_i1027" type="#_x0000_t75" style="width:438.9pt;height:312.65pt" o:ole="">
            <v:imagedata r:id="rId13" o:title=""/>
          </v:shape>
          <o:OLEObject Type="Embed" ProgID="Visio.Drawing.15" ShapeID="_x0000_i1027" DrawAspect="Content" ObjectID="_1687580529" r:id="rId14"/>
        </w:object>
      </w:r>
    </w:p>
    <w:p w14:paraId="091B1334" w14:textId="765D85AF"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18C88F4D" w14:textId="77777777" w:rsidR="009816B2" w:rsidRPr="00414D17" w:rsidRDefault="009816B2"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r>
        <w:rPr>
          <w:sz w:val="20"/>
          <w:u w:val="single"/>
        </w:rPr>
        <w:t>The non-MLD (affiliated) upper MAC sublayer functions include:</w:t>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Power save state and mode</w:t>
      </w:r>
      <w:r w:rsidR="00AB0CD6">
        <w:rPr>
          <w:rFonts w:eastAsia="Times New Roman"/>
          <w:sz w:val="20"/>
          <w:szCs w:val="20"/>
          <w:u w:val="single"/>
        </w:rPr>
        <w:t xml:space="preserve"> tracking, per-link for MLD peers</w:t>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lastRenderedPageBreak/>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Power save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behaviors”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port.(11ak)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(#4272)</w:t>
      </w:r>
      <w:bookmarkStart w:id="4" w:name="_Hlk68856888"/>
      <w:r w:rsidRPr="00781398">
        <w:rPr>
          <w:sz w:val="20"/>
        </w:rPr>
        <w:t xml:space="preserve">NOTE—Many of the processes shown in Figure 5-1 (MAC data plane architecture(11ak)(#2273)) also apply to MMPDU flows for the </w:t>
      </w:r>
      <w:bookmarkEnd w:id="4"/>
      <w:r w:rsidRPr="00781398">
        <w:rPr>
          <w:sz w:val="20"/>
        </w:rPr>
        <w:t>MAC control plane architecture, and the processes shown at the bottom also apply to Control and Extension frames.</w:t>
      </w:r>
    </w:p>
    <w:p w14:paraId="0F709FD9" w14:textId="77777777"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w:t>
      </w:r>
      <w:proofErr w:type="gramStart"/>
      <w:r w:rsidRPr="00781398">
        <w:rPr>
          <w:sz w:val="20"/>
        </w:rPr>
        <w:t>have to</w:t>
      </w:r>
      <w:proofErr w:type="gramEnd"/>
      <w:r w:rsidRPr="00781398">
        <w:rPr>
          <w:sz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sz w:val="20"/>
        </w:rPr>
        <w:t>all of</w:t>
      </w:r>
      <w:proofErr w:type="gramEnd"/>
      <w:r w:rsidRPr="00781398">
        <w:rPr>
          <w:sz w:val="20"/>
        </w:rPr>
        <w:t xml:space="preserve">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lastRenderedPageBreak/>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722B3AA7" w14:textId="38CDD1E8" w:rsidR="00FD3784" w:rsidRPr="00FD3784" w:rsidRDefault="00FD3784" w:rsidP="007D6E10">
      <w:pPr>
        <w:jc w:val="both"/>
        <w:rPr>
          <w:sz w:val="20"/>
          <w:u w:val="single"/>
        </w:rPr>
      </w:pPr>
      <w:r>
        <w:rPr>
          <w:sz w:val="20"/>
          <w:u w:val="single"/>
        </w:rPr>
        <w:t xml:space="preserve">In the general case, the details of Figure 5-2a are combined within a structure shown in Figure 4-29c, with </w:t>
      </w:r>
      <w:r>
        <w:rPr>
          <w:i/>
          <w:iCs/>
          <w:sz w:val="20"/>
          <w:u w:val="single"/>
        </w:rPr>
        <w:t>n</w:t>
      </w:r>
      <w:r>
        <w:rPr>
          <w:sz w:val="20"/>
          <w:u w:val="single"/>
        </w:rPr>
        <w:t xml:space="preserve"> affiliated APs, and each affiliated AP comprises the MAC data plane architecture shown in Figure 5-1.</w:t>
      </w:r>
    </w:p>
    <w:p w14:paraId="366B7773" w14:textId="527D300D" w:rsidR="003369B3" w:rsidRDefault="003369B3" w:rsidP="003369B3">
      <w:pPr>
        <w:jc w:val="center"/>
        <w:rPr>
          <w:strike/>
          <w:noProof/>
          <w:sz w:val="20"/>
        </w:rPr>
      </w:pPr>
      <w:r w:rsidRPr="003B0728">
        <w:rPr>
          <w:strike/>
          <w:noProof/>
          <w:sz w:val="20"/>
        </w:rPr>
        <w:object w:dxaOrig="10185" w:dyaOrig="15150" w14:anchorId="06604609">
          <v:shape id="_x0000_i1028" type="#_x0000_t75" alt="" style="width:418.2pt;height:618.4pt" o:ole="">
            <v:imagedata r:id="rId15" o:title=""/>
          </v:shape>
          <o:OLEObject Type="Embed" ProgID="Visio.Drawing.11" ShapeID="_x0000_i1028" DrawAspect="Content" ObjectID="_1687580530" r:id="rId16"/>
        </w:object>
      </w:r>
    </w:p>
    <w:p w14:paraId="27A93299" w14:textId="3E7AF112" w:rsidR="003B0728" w:rsidRPr="003B0728" w:rsidRDefault="003B0728" w:rsidP="003369B3">
      <w:pPr>
        <w:jc w:val="center"/>
        <w:rPr>
          <w:sz w:val="20"/>
          <w:u w:val="single"/>
        </w:rPr>
      </w:pPr>
      <w:r w:rsidRPr="003B0728">
        <w:rPr>
          <w:u w:val="single"/>
        </w:rPr>
        <w:object w:dxaOrig="13006" w:dyaOrig="16695" w14:anchorId="32FC6193">
          <v:shape id="_x0000_i1029" type="#_x0000_t75" style="width:467.5pt;height:600.65pt" o:ole="">
            <v:imagedata r:id="rId17" o:title=""/>
          </v:shape>
          <o:OLEObject Type="Embed" ProgID="Visio.Drawing.15" ShapeID="_x0000_i1029" DrawAspect="Content" ObjectID="_1687580531" r:id="rId18"/>
        </w:object>
      </w:r>
    </w:p>
    <w:p w14:paraId="53D248BF" w14:textId="77777777" w:rsidR="003369B3" w:rsidRPr="0024263F" w:rsidRDefault="003369B3" w:rsidP="003369B3">
      <w:pPr>
        <w:jc w:val="center"/>
        <w:rPr>
          <w:rFonts w:ascii="Arial" w:hAnsi="Arial" w:cs="Arial"/>
          <w:b/>
          <w:bCs/>
          <w:sz w:val="20"/>
        </w:rPr>
      </w:pPr>
      <w:commentRangeStart w:id="5"/>
      <w:r w:rsidRPr="0024263F">
        <w:rPr>
          <w:rFonts w:ascii="Arial" w:hAnsi="Arial" w:cs="Arial"/>
          <w:b/>
          <w:bCs/>
          <w:sz w:val="20"/>
        </w:rPr>
        <w:t>Figure 5-2a - MAC data plane architecture (MLO) for unicast data frames</w:t>
      </w:r>
      <w:commentRangeEnd w:id="5"/>
      <w:r>
        <w:rPr>
          <w:rStyle w:val="CommentReference"/>
        </w:rPr>
        <w:commentReference w:id="5"/>
      </w:r>
    </w:p>
    <w:p w14:paraId="7EA62FF7" w14:textId="77777777" w:rsidR="007E53DC" w:rsidRPr="007E53DC" w:rsidRDefault="007E53DC" w:rsidP="007E53DC">
      <w:pPr>
        <w:jc w:val="both"/>
        <w:rPr>
          <w:sz w:val="20"/>
        </w:rPr>
      </w:pPr>
    </w:p>
    <w:p w14:paraId="67F395BF" w14:textId="1CB59F1F" w:rsidR="007E53DC" w:rsidRPr="00B45A4C" w:rsidRDefault="007E53DC" w:rsidP="007E53DC">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06C4A099" w14:textId="77777777" w:rsidR="007E53DC" w:rsidRDefault="007E53DC" w:rsidP="007E53DC">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 xml:space="preserve">35.3.6.1 (TID-to-link </w:t>
      </w:r>
      <w:r w:rsidRPr="001F7AAA">
        <w:rPr>
          <w:sz w:val="20"/>
        </w:rPr>
        <w:lastRenderedPageBreak/>
        <w:t>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4051C9C0" w14:textId="77777777" w:rsidR="007E53DC" w:rsidRDefault="007E53DC" w:rsidP="007E53DC">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00CD516B" w14:textId="1DC99FFD" w:rsidR="007D6E10" w:rsidRPr="00781398" w:rsidRDefault="007D6E10" w:rsidP="007D6E10">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141B60">
        <w:rPr>
          <w:sz w:val="20"/>
        </w:rPr>
        <w:t xml:space="preserve"> </w:t>
      </w:r>
      <w:r w:rsidRPr="00141B60">
        <w:rPr>
          <w:sz w:val="20"/>
        </w:rPr>
        <w:t>MAC sublayer</w:t>
      </w:r>
      <w:r>
        <w:rPr>
          <w:sz w:val="20"/>
        </w:rPr>
        <w:t xml:space="preserve">, </w:t>
      </w:r>
      <w:r w:rsidR="007E53DC">
        <w:rPr>
          <w:sz w:val="20"/>
          <w:u w:val="single"/>
        </w:rPr>
        <w:t xml:space="preserve">are distributed to the appropriate MLD upper MAC sublayer based on the type of association with the peer (TA), </w:t>
      </w:r>
      <w:r>
        <w:rPr>
          <w:sz w:val="20"/>
        </w:rPr>
        <w:t>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sidR="007E53DC">
        <w:rPr>
          <w:sz w:val="20"/>
          <w:u w:val="single"/>
        </w:rPr>
        <w:t xml:space="preserve">rest of the </w:t>
      </w:r>
      <w:r w:rsidRPr="00141B60">
        <w:rPr>
          <w:sz w:val="20"/>
        </w:rPr>
        <w:t>process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5FB93063" w14:textId="6077A7B7" w:rsidR="007D6E10" w:rsidRDefault="007D6E10" w:rsidP="007D6E10">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79167B">
        <w:rPr>
          <w:sz w:val="20"/>
        </w:rPr>
        <w:t xml:space="preserve"> </w:t>
      </w:r>
      <w:r w:rsidRPr="0079167B">
        <w:rPr>
          <w:sz w:val="20"/>
        </w:rPr>
        <w:t>MAC sublayer</w:t>
      </w:r>
      <w:r>
        <w:rPr>
          <w:sz w:val="20"/>
        </w:rPr>
        <w:t xml:space="preserve"> </w:t>
      </w:r>
      <w:r w:rsidRPr="00781398">
        <w:rPr>
          <w:sz w:val="20"/>
        </w:rPr>
        <w:t>also apply to Control and Extension frames.</w:t>
      </w:r>
    </w:p>
    <w:p w14:paraId="6F88B5D6" w14:textId="77777777" w:rsidR="007E53DC" w:rsidRDefault="007D6E10" w:rsidP="007D6E10">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sidR="007E53DC">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sidR="007E53DC">
        <w:rPr>
          <w:sz w:val="20"/>
          <w:u w:val="single"/>
        </w:rPr>
        <w:t xml:space="preserve">all </w:t>
      </w:r>
      <w:r>
        <w:rPr>
          <w:sz w:val="20"/>
        </w:rPr>
        <w:t xml:space="preserve">the links. </w:t>
      </w:r>
    </w:p>
    <w:p w14:paraId="5E8240D9" w14:textId="0A95BCF1" w:rsidR="007D6E10" w:rsidRPr="007E53DC" w:rsidRDefault="007D6E10" w:rsidP="007D6E10">
      <w:pPr>
        <w:jc w:val="both"/>
        <w:rPr>
          <w:sz w:val="20"/>
          <w:u w:val="single"/>
        </w:rPr>
      </w:pPr>
      <w:r>
        <w:rPr>
          <w:sz w:val="20"/>
        </w:rPr>
        <w:t xml:space="preserve">The GTK of </w:t>
      </w:r>
      <w:r w:rsidRPr="007E53DC">
        <w:rPr>
          <w:strike/>
          <w:sz w:val="20"/>
        </w:rPr>
        <w:t>a link</w:t>
      </w:r>
      <w:r>
        <w:rPr>
          <w:sz w:val="20"/>
        </w:rPr>
        <w:t xml:space="preserve"> </w:t>
      </w:r>
      <w:r w:rsidR="007E53DC">
        <w:rPr>
          <w:sz w:val="20"/>
          <w:u w:val="single"/>
        </w:rPr>
        <w:t xml:space="preserve">an affiliated STA </w:t>
      </w:r>
      <w:r>
        <w:rPr>
          <w:sz w:val="20"/>
        </w:rPr>
        <w:t xml:space="preserve">is used </w:t>
      </w:r>
      <w:r w:rsidRPr="00781398">
        <w:rPr>
          <w:sz w:val="20"/>
        </w:rPr>
        <w:t xml:space="preserve">to encrypt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transmission on the link</w:t>
      </w:r>
      <w:r w:rsidR="007E53DC">
        <w:rPr>
          <w:sz w:val="20"/>
        </w:rPr>
        <w:t xml:space="preserve"> </w:t>
      </w:r>
      <w:r w:rsidR="007E53DC">
        <w:rPr>
          <w:sz w:val="20"/>
          <w:u w:val="single"/>
        </w:rPr>
        <w:t>managed by that affiliated STA</w:t>
      </w:r>
      <w:r>
        <w:rPr>
          <w:sz w:val="20"/>
        </w:rPr>
        <w:t xml:space="preserve">. The GTK of </w:t>
      </w:r>
      <w:r w:rsidRPr="007E53DC">
        <w:rPr>
          <w:strike/>
          <w:sz w:val="20"/>
        </w:rPr>
        <w:t>a link</w:t>
      </w:r>
      <w:r>
        <w:rPr>
          <w:sz w:val="20"/>
        </w:rPr>
        <w:t xml:space="preserve"> </w:t>
      </w:r>
      <w:r w:rsidR="007E53DC">
        <w:rPr>
          <w:sz w:val="20"/>
          <w:u w:val="single"/>
        </w:rPr>
        <w:t xml:space="preserve">the corresponding affiliated STA </w:t>
      </w:r>
      <w:r>
        <w:rPr>
          <w:sz w:val="20"/>
        </w:rPr>
        <w:t xml:space="preserve">is used </w:t>
      </w:r>
      <w:r w:rsidRPr="00781398">
        <w:rPr>
          <w:sz w:val="20"/>
        </w:rPr>
        <w:t xml:space="preserve">to </w:t>
      </w:r>
      <w:r>
        <w:rPr>
          <w:sz w:val="20"/>
        </w:rPr>
        <w:t>d</w:t>
      </w:r>
      <w:r w:rsidRPr="00781398">
        <w:rPr>
          <w:sz w:val="20"/>
        </w:rPr>
        <w:t xml:space="preserve">ecrypt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received on </w:t>
      </w:r>
      <w:proofErr w:type="gramStart"/>
      <w:r w:rsidRPr="007E53DC">
        <w:rPr>
          <w:strike/>
          <w:sz w:val="20"/>
        </w:rPr>
        <w:t>the</w:t>
      </w:r>
      <w:r>
        <w:rPr>
          <w:sz w:val="20"/>
        </w:rPr>
        <w:t xml:space="preserve"> </w:t>
      </w:r>
      <w:r w:rsidR="007E53DC">
        <w:rPr>
          <w:sz w:val="20"/>
          <w:u w:val="single"/>
        </w:rPr>
        <w:t>a</w:t>
      </w:r>
      <w:proofErr w:type="gramEnd"/>
      <w:r w:rsidR="007E53DC">
        <w:rPr>
          <w:sz w:val="20"/>
          <w:u w:val="single"/>
        </w:rPr>
        <w:t xml:space="preserve"> </w:t>
      </w:r>
      <w:r>
        <w:rPr>
          <w:sz w:val="20"/>
        </w:rPr>
        <w:t>link.</w:t>
      </w:r>
      <w:r w:rsidR="007E53DC">
        <w:rPr>
          <w:sz w:val="20"/>
        </w:rPr>
        <w:t xml:space="preserve"> </w:t>
      </w:r>
      <w:r w:rsidR="007E53DC">
        <w:rPr>
          <w:sz w:val="20"/>
          <w:u w:val="single"/>
        </w:rPr>
        <w:t xml:space="preserve"> Any </w:t>
      </w:r>
      <w:proofErr w:type="gramStart"/>
      <w:r w:rsidR="007E53DC">
        <w:rPr>
          <w:sz w:val="20"/>
          <w:u w:val="single"/>
        </w:rPr>
        <w:t>group-addressed</w:t>
      </w:r>
      <w:proofErr w:type="gramEnd"/>
      <w:r w:rsidR="007E53DC">
        <w:rPr>
          <w:sz w:val="20"/>
          <w:u w:val="single"/>
        </w:rPr>
        <w:t xml:space="preserve"> MSDU received at the MAC SAP of an AP MLD is generally discarded, as the affiliated APs will also receive the MSDU and will transmit it on their corresponding link.  However, the implementation must confirm that if any group address filtering of multicast MSDUs is being performed by the affiliated APs, the MSDU received at the AP MLD’s MAC SAP </w:t>
      </w:r>
      <w:r w:rsidR="005370B5">
        <w:rPr>
          <w:sz w:val="20"/>
          <w:u w:val="single"/>
        </w:rPr>
        <w:t>shall</w:t>
      </w:r>
      <w:r w:rsidR="007E53DC">
        <w:rPr>
          <w:sz w:val="20"/>
          <w:u w:val="single"/>
        </w:rPr>
        <w:t xml:space="preserve"> still be transmitted to appropriate non-AP MLD STAs.</w:t>
      </w:r>
      <w:r w:rsidR="00F041B6">
        <w:rPr>
          <w:sz w:val="20"/>
          <w:u w:val="single"/>
        </w:rPr>
        <w:t xml:space="preserve">  Group-addressed MMPDUs generated within the MLD upper MAC sublayer </w:t>
      </w:r>
      <w:r w:rsidR="005370B5">
        <w:rPr>
          <w:sz w:val="20"/>
          <w:u w:val="single"/>
        </w:rPr>
        <w:t>shall be transferred to the appropriate affiliated APs for transmission.</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7BB904AF" w:rsidR="0024263F" w:rsidRDefault="0024263F" w:rsidP="007D6E10">
      <w:pPr>
        <w:jc w:val="both"/>
        <w:rPr>
          <w:sz w:val="20"/>
        </w:rPr>
      </w:pP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0" type="#_x0000_t75" style="width:133.15pt;height:67.05pt" o:ole="">
            <v:imagedata r:id="rId23" o:title=""/>
          </v:shape>
          <o:OLEObject Type="Embed" ProgID="Visio.Drawing.15" ShapeID="_x0000_i1030" DrawAspect="Content" ObjectID="_1687580532" r:id="rId24"/>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77777777"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w:t>
      </w:r>
      <w:r w:rsidRPr="00153314">
        <w:rPr>
          <w:color w:val="000000"/>
          <w:sz w:val="20"/>
        </w:rPr>
        <w:lastRenderedPageBreak/>
        <w:t>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1" type="#_x0000_t75" style="width:346.2pt;height:182.45pt" o:ole="">
            <v:imagedata r:id="rId25" o:title=""/>
          </v:shape>
          <o:OLEObject Type="Embed" ProgID="Visio.Drawing.15" ShapeID="_x0000_i1031" DrawAspect="Content" ObjectID="_1687580533" r:id="rId26"/>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xml:space="preserve">. The DS SAP service provider is the DS. Figure 7-1 (DS </w:t>
      </w:r>
      <w:proofErr w:type="gramStart"/>
      <w:r w:rsidRPr="0084010E">
        <w:rPr>
          <w:color w:val="000000"/>
          <w:sz w:val="20"/>
        </w:rPr>
        <w:t>architecture(</w:t>
      </w:r>
      <w:proofErr w:type="gramEnd"/>
      <w:r w:rsidRPr="0084010E">
        <w:rPr>
          <w:color w:val="000000"/>
          <w:sz w:val="20"/>
        </w:rPr>
        <w:t xml:space="preserve">#2251)) shows the location of the DS in the IEEE 802.11 architecture. The DS SAP is indicated in this Figure by the lines connecting the DS to its service users. In Figure 7-1 (DS </w:t>
      </w:r>
      <w:proofErr w:type="gramStart"/>
      <w:r w:rsidRPr="0084010E">
        <w:rPr>
          <w:color w:val="000000"/>
          <w:sz w:val="20"/>
        </w:rPr>
        <w:t>architecture(</w:t>
      </w:r>
      <w:proofErr w:type="gramEnd"/>
      <w:r w:rsidRPr="0084010E">
        <w:rPr>
          <w:color w:val="000000"/>
          <w:sz w:val="20"/>
        </w:rPr>
        <w:t>#2251)),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35pt;height:123.3pt" o:ole="">
            <v:imagedata r:id="rId27" o:title=""/>
          </v:shape>
          <o:OLEObject Type="Embed" ProgID="Visio.Drawing.15" ShapeID="_x0000_i1032" DrawAspect="Content" ObjectID="_1687580534" r:id="rId28"/>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lastRenderedPageBreak/>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25pt;height:192.35pt" o:ole="">
            <v:imagedata r:id="rId29" o:title=""/>
          </v:shape>
          <o:OLEObject Type="Embed" ProgID="Visio.Drawing.15" ShapeID="_x0000_i1033" DrawAspect="Content" ObjectID="_1687580535" r:id="rId30"/>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lastRenderedPageBreak/>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2"/>
    <w:p w14:paraId="2F018684" w14:textId="271812BD" w:rsidR="007D6E10" w:rsidRDefault="007D6E10" w:rsidP="007D6E10"/>
    <w:p w14:paraId="6193AC9B" w14:textId="38D490BA" w:rsidR="00B45A4C" w:rsidRDefault="00B45A4C" w:rsidP="007D6E10">
      <w:pPr>
        <w:rPr>
          <w:b/>
          <w:bCs/>
          <w:i/>
          <w:iCs/>
          <w:u w:val="single"/>
        </w:rPr>
      </w:pPr>
      <w:r w:rsidRPr="00B45A4C">
        <w:rPr>
          <w:b/>
          <w:bCs/>
          <w:i/>
          <w:iCs/>
          <w:highlight w:val="yellow"/>
          <w:u w:val="single"/>
        </w:rPr>
        <w:t>Annex – result of reordering of subclause 4.9.5</w:t>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4" type="#_x0000_t75" alt="" style="width:404.4pt;height:396.5pt" o:ole="">
            <v:imagedata r:id="rId11" o:title=""/>
          </v:shape>
          <o:OLEObject Type="Embed" ProgID="Visio.Drawing.15" ShapeID="_x0000_i1034" DrawAspect="Content" ObjectID="_1687580536" r:id="rId31"/>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5" type="#_x0000_t75" alt="" style="width:468.5pt;height:260.4pt" o:ole="">
            <v:imagedata r:id="rId9" o:title=""/>
          </v:shape>
          <o:OLEObject Type="Embed" ProgID="Visio.Drawing.11" ShapeID="_x0000_i1035" DrawAspect="Content" ObjectID="_1687580537" r:id="rId32"/>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6" type="#_x0000_t75" style="width:438.9pt;height:312.65pt" o:ole="">
            <v:imagedata r:id="rId13" o:title=""/>
          </v:shape>
          <o:OLEObject Type="Embed" ProgID="Visio.Drawing.15" ShapeID="_x0000_i1036" DrawAspect="Content" ObjectID="_1687580538" r:id="rId33"/>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Hamilton, Mark" w:date="2021-07-06T12:11:00Z" w:initials="HM">
    <w:p w14:paraId="6C7B1068" w14:textId="3572EA14" w:rsidR="003369B3" w:rsidRDefault="003369B3">
      <w:pPr>
        <w:pStyle w:val="CommentText"/>
      </w:pPr>
      <w:r>
        <w:rPr>
          <w:rStyle w:val="CommentReference"/>
        </w:rPr>
        <w:annotationRef/>
      </w:r>
      <w:r>
        <w:t>Note: Figure 5-2a is moved to be anchored earlier in the text, if/as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7B10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C70C" w16cex:dateUtc="2021-07-06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7B1068" w16cid:durableId="248EC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BBE75" w14:textId="77777777" w:rsidR="0084617C" w:rsidRDefault="0084617C">
      <w:r>
        <w:separator/>
      </w:r>
    </w:p>
  </w:endnote>
  <w:endnote w:type="continuationSeparator" w:id="0">
    <w:p w14:paraId="30471565" w14:textId="77777777" w:rsidR="0084617C" w:rsidRDefault="0084617C">
      <w:r>
        <w:continuationSeparator/>
      </w:r>
    </w:p>
  </w:endnote>
  <w:endnote w:type="continuationNotice" w:id="1">
    <w:p w14:paraId="26A8973D" w14:textId="77777777" w:rsidR="0084617C" w:rsidRDefault="00846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D455B" w:rsidRDefault="0084617C">
    <w:pPr>
      <w:pStyle w:val="Footer"/>
      <w:tabs>
        <w:tab w:val="clear" w:pos="6480"/>
        <w:tab w:val="center" w:pos="4680"/>
        <w:tab w:val="right" w:pos="9360"/>
      </w:tabs>
    </w:pPr>
    <w:r>
      <w:fldChar w:fldCharType="begin"/>
    </w:r>
    <w:r>
      <w:instrText xml:space="preserve"> SUBJECT  \* MERGEFORMAT </w:instrText>
    </w:r>
    <w:r>
      <w:fldChar w:fldCharType="separate"/>
    </w:r>
    <w:r w:rsidR="00DD455B">
      <w:t>Submission</w:t>
    </w:r>
    <w:r>
      <w:fldChar w:fldCharType="end"/>
    </w:r>
    <w:r w:rsidR="00DD455B">
      <w:tab/>
      <w:t xml:space="preserve">page </w:t>
    </w:r>
    <w:r w:rsidR="00DD455B">
      <w:fldChar w:fldCharType="begin"/>
    </w:r>
    <w:r w:rsidR="00DD455B">
      <w:instrText xml:space="preserve">page </w:instrText>
    </w:r>
    <w:r w:rsidR="00DD455B">
      <w:fldChar w:fldCharType="separate"/>
    </w:r>
    <w:r w:rsidR="00DD455B">
      <w:rPr>
        <w:noProof/>
      </w:rPr>
      <w:t>2</w:t>
    </w:r>
    <w:r w:rsidR="00DD455B">
      <w:fldChar w:fldCharType="end"/>
    </w:r>
    <w:r w:rsidR="00DD455B">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1FD06" w14:textId="77777777" w:rsidR="0084617C" w:rsidRDefault="0084617C">
      <w:r>
        <w:separator/>
      </w:r>
    </w:p>
  </w:footnote>
  <w:footnote w:type="continuationSeparator" w:id="0">
    <w:p w14:paraId="15158993" w14:textId="77777777" w:rsidR="0084617C" w:rsidRDefault="0084617C">
      <w:r>
        <w:continuationSeparator/>
      </w:r>
    </w:p>
  </w:footnote>
  <w:footnote w:type="continuationNotice" w:id="1">
    <w:p w14:paraId="4BDFB09B" w14:textId="77777777" w:rsidR="0084617C" w:rsidRDefault="00846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F7CA6C4" w:rsidR="00DD455B" w:rsidRDefault="00DD455B" w:rsidP="006B0AA0">
    <w:pPr>
      <w:pStyle w:val="Header"/>
      <w:tabs>
        <w:tab w:val="clear" w:pos="6480"/>
        <w:tab w:val="center" w:pos="4680"/>
        <w:tab w:val="right" w:pos="9360"/>
      </w:tabs>
      <w:spacing w:after="240"/>
    </w:pPr>
    <w:r>
      <w:t>July 2021</w:t>
    </w:r>
    <w:r>
      <w:tab/>
    </w:r>
    <w:r>
      <w:tab/>
    </w:r>
    <w:r w:rsidR="0084617C">
      <w:fldChar w:fldCharType="begin"/>
    </w:r>
    <w:r w:rsidR="0084617C">
      <w:instrText xml:space="preserve"> TITLE  \* MERGEFORMAT </w:instrText>
    </w:r>
    <w:r w:rsidR="0084617C">
      <w:fldChar w:fldCharType="separate"/>
    </w:r>
    <w:r w:rsidR="00910A25">
      <w:t>doc.: IEEE 802.11-21/1111</w:t>
    </w:r>
    <w:r w:rsidR="0084617C">
      <w:fldChar w:fldCharType="end"/>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4D06"/>
    <w:rsid w:val="0001615B"/>
    <w:rsid w:val="00020436"/>
    <w:rsid w:val="00022B33"/>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7BA4"/>
    <w:rsid w:val="000C0FD2"/>
    <w:rsid w:val="000C2588"/>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265"/>
    <w:rsid w:val="001C7E2A"/>
    <w:rsid w:val="001D2606"/>
    <w:rsid w:val="001D563D"/>
    <w:rsid w:val="001D7A9E"/>
    <w:rsid w:val="001E0E3C"/>
    <w:rsid w:val="001E2A9F"/>
    <w:rsid w:val="001E43BE"/>
    <w:rsid w:val="001E5B12"/>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5517"/>
    <w:rsid w:val="002A60AD"/>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69B3"/>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0728"/>
    <w:rsid w:val="003B1F32"/>
    <w:rsid w:val="003B4102"/>
    <w:rsid w:val="003B57C5"/>
    <w:rsid w:val="003B5A6D"/>
    <w:rsid w:val="003C434C"/>
    <w:rsid w:val="003C52CA"/>
    <w:rsid w:val="003C53E3"/>
    <w:rsid w:val="003C5A5D"/>
    <w:rsid w:val="003C72BF"/>
    <w:rsid w:val="003D29D2"/>
    <w:rsid w:val="003D568F"/>
    <w:rsid w:val="003E2991"/>
    <w:rsid w:val="003E56EE"/>
    <w:rsid w:val="003E78D0"/>
    <w:rsid w:val="003F1854"/>
    <w:rsid w:val="003F5624"/>
    <w:rsid w:val="003F6FFA"/>
    <w:rsid w:val="004015AE"/>
    <w:rsid w:val="004029C3"/>
    <w:rsid w:val="00404AAA"/>
    <w:rsid w:val="00406C2A"/>
    <w:rsid w:val="00410652"/>
    <w:rsid w:val="004135FC"/>
    <w:rsid w:val="004141CF"/>
    <w:rsid w:val="00414D17"/>
    <w:rsid w:val="00415423"/>
    <w:rsid w:val="00420DBC"/>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760A"/>
    <w:rsid w:val="00517AE2"/>
    <w:rsid w:val="00522268"/>
    <w:rsid w:val="005259E9"/>
    <w:rsid w:val="00525FC4"/>
    <w:rsid w:val="005269D4"/>
    <w:rsid w:val="005303F2"/>
    <w:rsid w:val="00533284"/>
    <w:rsid w:val="0053485B"/>
    <w:rsid w:val="005370B5"/>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1D7"/>
    <w:rsid w:val="005A5C9B"/>
    <w:rsid w:val="005A65B0"/>
    <w:rsid w:val="005B14C9"/>
    <w:rsid w:val="005B2062"/>
    <w:rsid w:val="005C112D"/>
    <w:rsid w:val="005C599C"/>
    <w:rsid w:val="005C59B9"/>
    <w:rsid w:val="005D2129"/>
    <w:rsid w:val="005D3CD9"/>
    <w:rsid w:val="005D4C1A"/>
    <w:rsid w:val="005D742B"/>
    <w:rsid w:val="005E11C4"/>
    <w:rsid w:val="005F1267"/>
    <w:rsid w:val="005F15D3"/>
    <w:rsid w:val="005F1D1B"/>
    <w:rsid w:val="005F1F9D"/>
    <w:rsid w:val="0060601C"/>
    <w:rsid w:val="00606485"/>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D6E10"/>
    <w:rsid w:val="007E241C"/>
    <w:rsid w:val="007E4596"/>
    <w:rsid w:val="007E4B73"/>
    <w:rsid w:val="007E53DC"/>
    <w:rsid w:val="007E622B"/>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3314"/>
    <w:rsid w:val="00854E19"/>
    <w:rsid w:val="00860233"/>
    <w:rsid w:val="00862862"/>
    <w:rsid w:val="00862B81"/>
    <w:rsid w:val="00875E18"/>
    <w:rsid w:val="00880E39"/>
    <w:rsid w:val="00880EB5"/>
    <w:rsid w:val="00883654"/>
    <w:rsid w:val="00883C57"/>
    <w:rsid w:val="008924C2"/>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16B2"/>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30943"/>
    <w:rsid w:val="00A3122E"/>
    <w:rsid w:val="00A428E0"/>
    <w:rsid w:val="00A4382F"/>
    <w:rsid w:val="00A452A4"/>
    <w:rsid w:val="00A5352D"/>
    <w:rsid w:val="00A55879"/>
    <w:rsid w:val="00A62AED"/>
    <w:rsid w:val="00A67CAB"/>
    <w:rsid w:val="00A704DF"/>
    <w:rsid w:val="00A76D0A"/>
    <w:rsid w:val="00A76F1E"/>
    <w:rsid w:val="00A86683"/>
    <w:rsid w:val="00A92222"/>
    <w:rsid w:val="00A933A3"/>
    <w:rsid w:val="00A95D87"/>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5179"/>
    <w:rsid w:val="00AE5266"/>
    <w:rsid w:val="00AF5691"/>
    <w:rsid w:val="00AF7083"/>
    <w:rsid w:val="00AF78F1"/>
    <w:rsid w:val="00B038F0"/>
    <w:rsid w:val="00B07CE5"/>
    <w:rsid w:val="00B10833"/>
    <w:rsid w:val="00B25EAD"/>
    <w:rsid w:val="00B30FC8"/>
    <w:rsid w:val="00B33DAC"/>
    <w:rsid w:val="00B442D0"/>
    <w:rsid w:val="00B44A5C"/>
    <w:rsid w:val="00B45A4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061A"/>
    <w:rsid w:val="00D02BCC"/>
    <w:rsid w:val="00D1152F"/>
    <w:rsid w:val="00D14510"/>
    <w:rsid w:val="00D17B8A"/>
    <w:rsid w:val="00D20DF8"/>
    <w:rsid w:val="00D231D3"/>
    <w:rsid w:val="00D23D3E"/>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7559A"/>
    <w:rsid w:val="00D75AD8"/>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455B"/>
    <w:rsid w:val="00DE3018"/>
    <w:rsid w:val="00DE36E5"/>
    <w:rsid w:val="00DE3E36"/>
    <w:rsid w:val="00DF4355"/>
    <w:rsid w:val="00DF7248"/>
    <w:rsid w:val="00E030A5"/>
    <w:rsid w:val="00E04933"/>
    <w:rsid w:val="00E06D63"/>
    <w:rsid w:val="00E07E3D"/>
    <w:rsid w:val="00E13F6B"/>
    <w:rsid w:val="00E21528"/>
    <w:rsid w:val="00E22780"/>
    <w:rsid w:val="00E249DE"/>
    <w:rsid w:val="00E25A13"/>
    <w:rsid w:val="00E345CC"/>
    <w:rsid w:val="00E359EA"/>
    <w:rsid w:val="00E35B1F"/>
    <w:rsid w:val="00E44493"/>
    <w:rsid w:val="00E46886"/>
    <w:rsid w:val="00E47E34"/>
    <w:rsid w:val="00E5182D"/>
    <w:rsid w:val="00E51BD7"/>
    <w:rsid w:val="00E524E5"/>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41B6"/>
    <w:rsid w:val="00F047DD"/>
    <w:rsid w:val="00F051D3"/>
    <w:rsid w:val="00F06251"/>
    <w:rsid w:val="00F107BB"/>
    <w:rsid w:val="00F13203"/>
    <w:rsid w:val="00F14DAB"/>
    <w:rsid w:val="00F215C4"/>
    <w:rsid w:val="00F220F5"/>
    <w:rsid w:val="00F264D2"/>
    <w:rsid w:val="00F306AA"/>
    <w:rsid w:val="00F34DC9"/>
    <w:rsid w:val="00F35E89"/>
    <w:rsid w:val="00F4215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7758"/>
    <w:rsid w:val="00FB1501"/>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4.vsdx"/><Relationship Id="rId3" Type="http://schemas.openxmlformats.org/officeDocument/2006/relationships/styles" Target="styles.xml"/><Relationship Id="rId21" Type="http://schemas.microsoft.com/office/2016/09/relationships/commentsIds" Target="commentsId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7.emf"/><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oleObject" Target="embeddings/Microsoft_Visio_2003-2010_Drawing2.vsd"/><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comments" Target="comments.xml"/><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1697</TotalTime>
  <Pages>18</Pages>
  <Words>5039</Words>
  <Characters>28726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802.11-21/XXXX</vt:lpstr>
    </vt:vector>
  </TitlesOfParts>
  <Company>Ruckus/CommScope</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59</cp:revision>
  <cp:lastPrinted>2014-05-15T08:40:00Z</cp:lastPrinted>
  <dcterms:created xsi:type="dcterms:W3CDTF">2021-07-02T21:45:00Z</dcterms:created>
  <dcterms:modified xsi:type="dcterms:W3CDTF">2021-07-12T13:34:00Z</dcterms:modified>
</cp:coreProperties>
</file>