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6BB5777C" w:rsidR="00BD6FB0" w:rsidRPr="004B1506" w:rsidRDefault="00CD48D4" w:rsidP="00137885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CC36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36.3.1</w:t>
            </w:r>
            <w:r w:rsidR="00137885">
              <w:rPr>
                <w:b/>
                <w:sz w:val="28"/>
                <w:szCs w:val="28"/>
                <w:lang w:val="en-US" w:eastAsia="ko-KR"/>
              </w:rPr>
              <w:t>2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 xml:space="preserve">.9 </w:t>
            </w:r>
            <w:r w:rsidR="001E5538">
              <w:rPr>
                <w:rFonts w:hint="eastAsia"/>
                <w:b/>
                <w:sz w:val="28"/>
                <w:szCs w:val="28"/>
                <w:lang w:val="en-US" w:eastAsia="ko-KR"/>
              </w:rPr>
              <w:t>EHT-STF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6DD50C02" w:rsidR="00BD6FB0" w:rsidRPr="00BD6FB0" w:rsidRDefault="00BD6FB0" w:rsidP="00137885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21</w:t>
            </w:r>
            <w:r w:rsidR="00361A7D">
              <w:t>-</w:t>
            </w:r>
            <w:r w:rsidR="00546339">
              <w:t>0</w:t>
            </w:r>
            <w:r w:rsidR="00137885">
              <w:t>7</w:t>
            </w:r>
            <w:r w:rsidR="00361A7D">
              <w:t>-</w:t>
            </w:r>
            <w:r w:rsidR="000718E3">
              <w:rPr>
                <w:rFonts w:hint="eastAsia"/>
                <w:lang w:eastAsia="ko-KR"/>
              </w:rPr>
              <w:t>11</w:t>
            </w:r>
            <w:bookmarkStart w:id="0" w:name="_GoBack"/>
            <w:bookmarkEnd w:id="0"/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14BB63BE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37885">
        <w:rPr>
          <w:lang w:eastAsia="ko-KR"/>
        </w:rPr>
        <w:t xml:space="preserve">a </w:t>
      </w:r>
      <w:r>
        <w:rPr>
          <w:lang w:eastAsia="ko-KR"/>
        </w:rPr>
        <w:t xml:space="preserve">resolution for </w:t>
      </w:r>
      <w:r w:rsidR="00137885">
        <w:rPr>
          <w:lang w:eastAsia="ko-KR"/>
        </w:rPr>
        <w:t>CID 8025</w:t>
      </w:r>
    </w:p>
    <w:p w14:paraId="4F6922A3" w14:textId="77777777" w:rsidR="00DF3C0B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2BB5C3F6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proofErr w:type="spellEnd"/>
      <w:r w:rsidR="008A4A5E">
        <w:rPr>
          <w:lang w:eastAsia="ko-KR"/>
        </w:rPr>
        <w:t xml:space="preserve"> D</w:t>
      </w:r>
      <w:r w:rsidR="00137885">
        <w:rPr>
          <w:lang w:eastAsia="ko-KR"/>
        </w:rPr>
        <w:t>1.</w:t>
      </w:r>
      <w:r w:rsidR="001E5538">
        <w:rPr>
          <w:lang w:eastAsia="ko-KR"/>
        </w:rPr>
        <w:t>0</w:t>
      </w:r>
      <w:r w:rsidR="00CD48D4">
        <w:rPr>
          <w:lang w:eastAsia="ko-KR"/>
        </w:rPr>
        <w:t>1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772B8E34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137885">
        <w:rPr>
          <w:b/>
          <w:bCs/>
          <w:i/>
          <w:iCs/>
          <w:lang w:eastAsia="ko-KR"/>
        </w:rPr>
        <w:t>1.</w:t>
      </w:r>
      <w:r w:rsidR="00700311">
        <w:rPr>
          <w:b/>
          <w:bCs/>
          <w:i/>
          <w:iCs/>
          <w:lang w:eastAsia="ko-KR"/>
        </w:rPr>
        <w:t>0</w:t>
      </w:r>
      <w:r w:rsidR="00CD48D4">
        <w:rPr>
          <w:b/>
          <w:bCs/>
          <w:i/>
          <w:iCs/>
          <w:lang w:eastAsia="ko-KR"/>
        </w:rPr>
        <w:t>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78EB6590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137885">
        <w:rPr>
          <w:i/>
          <w:sz w:val="22"/>
          <w:szCs w:val="22"/>
          <w:lang w:eastAsia="ko-KR"/>
        </w:rPr>
        <w:t>8025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CE64CC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CE64CC" w:rsidRPr="00821890" w14:paraId="7278F19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5746F104" w:rsidR="008A4A5E" w:rsidRPr="009217A9" w:rsidRDefault="00137885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8025</w:t>
            </w:r>
          </w:p>
        </w:tc>
        <w:tc>
          <w:tcPr>
            <w:tcW w:w="1133" w:type="dxa"/>
            <w:shd w:val="clear" w:color="auto" w:fill="auto"/>
          </w:tcPr>
          <w:p w14:paraId="522C2A34" w14:textId="2775DA57" w:rsidR="008A4A5E" w:rsidRPr="009217A9" w:rsidRDefault="001E5538" w:rsidP="0013788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36.3.1</w:t>
            </w:r>
            <w:r w:rsidR="0013788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.9</w:t>
            </w:r>
          </w:p>
        </w:tc>
        <w:tc>
          <w:tcPr>
            <w:tcW w:w="850" w:type="dxa"/>
            <w:shd w:val="clear" w:color="auto" w:fill="auto"/>
          </w:tcPr>
          <w:p w14:paraId="035BF904" w14:textId="65F96D0E" w:rsidR="008A4A5E" w:rsidRPr="009217A9" w:rsidRDefault="00137885" w:rsidP="0013788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467</w:t>
            </w:r>
            <w:r w:rsidR="001E553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49</w:t>
            </w:r>
          </w:p>
        </w:tc>
        <w:tc>
          <w:tcPr>
            <w:tcW w:w="2410" w:type="dxa"/>
            <w:shd w:val="clear" w:color="auto" w:fill="auto"/>
          </w:tcPr>
          <w:p w14:paraId="7A6CC60C" w14:textId="656C99A7" w:rsidR="008A4A5E" w:rsidRPr="009217A9" w:rsidRDefault="00137885" w:rsidP="008A4A5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37885">
              <w:rPr>
                <w:rFonts w:ascii="Arial" w:hAnsi="Arial" w:cs="Arial"/>
                <w:sz w:val="20"/>
              </w:rPr>
              <w:t>All transmissions are either OFDMA or non-OFDMA.</w:t>
            </w:r>
          </w:p>
        </w:tc>
        <w:tc>
          <w:tcPr>
            <w:tcW w:w="2215" w:type="dxa"/>
            <w:shd w:val="clear" w:color="auto" w:fill="auto"/>
          </w:tcPr>
          <w:p w14:paraId="2537762D" w14:textId="77777777" w:rsidR="00137885" w:rsidRPr="00137885" w:rsidRDefault="00137885" w:rsidP="00137885">
            <w:pPr>
              <w:rPr>
                <w:rFonts w:ascii="Arial" w:hAnsi="Arial" w:cs="Arial"/>
                <w:sz w:val="20"/>
              </w:rPr>
            </w:pPr>
            <w:r w:rsidRPr="00137885">
              <w:rPr>
                <w:rFonts w:ascii="Arial" w:hAnsi="Arial" w:cs="Arial"/>
                <w:sz w:val="20"/>
              </w:rPr>
              <w:t>Change</w:t>
            </w:r>
          </w:p>
          <w:p w14:paraId="5BBD6BFF" w14:textId="77777777" w:rsidR="00137885" w:rsidRPr="00137885" w:rsidRDefault="00137885" w:rsidP="00137885">
            <w:pPr>
              <w:rPr>
                <w:rFonts w:ascii="Arial" w:hAnsi="Arial" w:cs="Arial"/>
                <w:sz w:val="20"/>
              </w:rPr>
            </w:pPr>
            <w:r w:rsidRPr="00137885">
              <w:rPr>
                <w:rFonts w:ascii="Arial" w:hAnsi="Arial" w:cs="Arial"/>
                <w:sz w:val="20"/>
              </w:rPr>
              <w:t>"For an OFDMA transmission and a non-OFDMA transmission with puncturing"</w:t>
            </w:r>
          </w:p>
          <w:p w14:paraId="0CE4F2B3" w14:textId="77777777" w:rsidR="00137885" w:rsidRPr="00137885" w:rsidRDefault="00137885" w:rsidP="00137885">
            <w:pPr>
              <w:rPr>
                <w:rFonts w:ascii="Arial" w:hAnsi="Arial" w:cs="Arial"/>
                <w:sz w:val="20"/>
              </w:rPr>
            </w:pPr>
            <w:r w:rsidRPr="00137885">
              <w:rPr>
                <w:rFonts w:ascii="Arial" w:hAnsi="Arial" w:cs="Arial"/>
                <w:sz w:val="20"/>
              </w:rPr>
              <w:t>to</w:t>
            </w:r>
          </w:p>
          <w:p w14:paraId="39F6B205" w14:textId="463F876E" w:rsidR="008A4A5E" w:rsidRPr="009217A9" w:rsidRDefault="00137885" w:rsidP="00137885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137885">
              <w:rPr>
                <w:rFonts w:ascii="Arial" w:hAnsi="Arial" w:cs="Arial"/>
                <w:sz w:val="20"/>
              </w:rPr>
              <w:t>"For transmissions with puncturing"</w:t>
            </w:r>
          </w:p>
        </w:tc>
        <w:tc>
          <w:tcPr>
            <w:tcW w:w="2693" w:type="dxa"/>
            <w:shd w:val="clear" w:color="auto" w:fill="auto"/>
          </w:tcPr>
          <w:p w14:paraId="7CDA142A" w14:textId="77777777" w:rsidR="00C328F2" w:rsidRDefault="00137885" w:rsidP="0013788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Rejected</w:t>
            </w:r>
          </w:p>
          <w:p w14:paraId="3F9FD1E0" w14:textId="77777777" w:rsidR="00137885" w:rsidRDefault="00137885" w:rsidP="0013788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1CD58B" w14:textId="70B58978" w:rsidR="00137885" w:rsidRDefault="00137885" w:rsidP="0013788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In the corresponding sentence</w:t>
            </w:r>
            <w:r w:rsidR="00BD5D6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, </w:t>
            </w:r>
            <w:r w:rsidR="0070244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following </w:t>
            </w:r>
            <w:r w:rsidR="00BD5D6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two types of transmission</w:t>
            </w:r>
            <w:r w:rsidR="00BD5D63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s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are dealt with.</w:t>
            </w:r>
          </w:p>
          <w:p w14:paraId="04D6A7E0" w14:textId="77777777" w:rsidR="00137885" w:rsidRDefault="00137885" w:rsidP="00137885">
            <w:pPr>
              <w:ind w:leftChars="50" w:left="110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1.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an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OFDMA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tansmission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2. a non-OFDMA transmission with puncturing</w:t>
            </w:r>
          </w:p>
          <w:p w14:paraId="5EBF785A" w14:textId="17A00555" w:rsidR="00D91AAB" w:rsidRPr="00D91AAB" w:rsidRDefault="00137885" w:rsidP="00C919A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For the OFDMA transmission</w:t>
            </w:r>
            <w:r w:rsidR="003963DF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in this sentence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, </w:t>
            </w:r>
            <w:r w:rsidR="008C4E1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non-pu</w:t>
            </w:r>
            <w:r w:rsidR="00D91AA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ncturing case is also included. Note that the spec says “</w:t>
            </w:r>
            <w:r w:rsidR="00D91AAB" w:rsidRPr="00D91AA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such as subcarriers falling within RUs that have no users assigned to them in OFDMA</w:t>
            </w:r>
            <w:r w:rsidR="00C919A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” and this case can include the non-puncturing OFDMA.</w:t>
            </w:r>
            <w:r w:rsidR="00D91AA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Thus, it would be better to keep the current sentence as it is.</w:t>
            </w:r>
          </w:p>
        </w:tc>
      </w:tr>
    </w:tbl>
    <w:p w14:paraId="6FBB4CF0" w14:textId="1E1C4746" w:rsidR="009223CF" w:rsidRDefault="009223CF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sectPr w:rsidR="009223CF" w:rsidSect="00D239D8">
      <w:headerReference w:type="default" r:id="rId8"/>
      <w:footerReference w:type="default" r:id="rId9"/>
      <w:pgSz w:w="12240" w:h="15840" w:code="1"/>
      <w:pgMar w:top="1077" w:right="1077" w:bottom="1077" w:left="1077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1D135" w14:textId="77777777" w:rsidR="00D21AAD" w:rsidRDefault="00D21AAD">
      <w:r>
        <w:separator/>
      </w:r>
    </w:p>
  </w:endnote>
  <w:endnote w:type="continuationSeparator" w:id="0">
    <w:p w14:paraId="19349335" w14:textId="77777777" w:rsidR="00D21AAD" w:rsidRDefault="00D2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37777CA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718E3">
      <w:rPr>
        <w:noProof/>
      </w:rPr>
      <w:t>2</w:t>
    </w:r>
    <w:r>
      <w:fldChar w:fldCharType="end"/>
    </w:r>
    <w:r>
      <w:tab/>
    </w:r>
    <w:proofErr w:type="spellStart"/>
    <w:r>
      <w:rPr>
        <w:rFonts w:hint="eastAsia"/>
        <w:lang w:eastAsia="ko-KR"/>
      </w:rPr>
      <w:t>Eunsung</w:t>
    </w:r>
    <w:proofErr w:type="spellEnd"/>
    <w:r>
      <w:rPr>
        <w:rFonts w:hint="eastAsia"/>
        <w:lang w:eastAsia="ko-KR"/>
      </w:rPr>
      <w:t xml:space="preserve">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CC5DB" w14:textId="77777777" w:rsidR="00D21AAD" w:rsidRDefault="00D21AAD">
      <w:r>
        <w:separator/>
      </w:r>
    </w:p>
  </w:footnote>
  <w:footnote w:type="continuationSeparator" w:id="0">
    <w:p w14:paraId="23EE78B9" w14:textId="77777777" w:rsidR="00D21AAD" w:rsidRDefault="00D21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2C12B8B2" w:rsidR="00D45587" w:rsidRDefault="00137885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July</w:t>
    </w:r>
    <w:r w:rsidR="00700311">
      <w:rPr>
        <w:lang w:eastAsia="ko-KR"/>
      </w:rPr>
      <w:t xml:space="preserve"> 20</w:t>
    </w:r>
    <w:r w:rsidR="00700311">
      <w:t>21</w:t>
    </w:r>
    <w:r w:rsidR="00D45587">
      <w:tab/>
    </w:r>
    <w:r w:rsidR="00D45587">
      <w:tab/>
    </w:r>
    <w:r w:rsidR="00D21AAD">
      <w:fldChar w:fldCharType="begin"/>
    </w:r>
    <w:r w:rsidR="00D21AAD">
      <w:instrText xml:space="preserve"> TITLE  \* MERGEFORMAT </w:instrText>
    </w:r>
    <w:r w:rsidR="00D21AAD">
      <w:fldChar w:fldCharType="separate"/>
    </w:r>
    <w:r w:rsidR="00D45587">
      <w:t>doc.: IEEE 802.11-</w:t>
    </w:r>
    <w:r w:rsidR="00700311">
      <w:t>21</w:t>
    </w:r>
    <w:r w:rsidR="00D45587">
      <w:t>/</w:t>
    </w:r>
    <w:r w:rsidR="00D21AAD">
      <w:fldChar w:fldCharType="end"/>
    </w:r>
    <w:r w:rsidR="00CE7C86">
      <w:t>1052</w:t>
    </w:r>
    <w:r w:rsidR="00446222">
      <w:t>r</w:t>
    </w:r>
    <w:r w:rsidR="00700311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16B5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647E7"/>
    <w:rsid w:val="00065916"/>
    <w:rsid w:val="00071736"/>
    <w:rsid w:val="000718E3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1F2A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6FE1"/>
    <w:rsid w:val="002B1ACA"/>
    <w:rsid w:val="002B3A59"/>
    <w:rsid w:val="002B58CB"/>
    <w:rsid w:val="002C1AFC"/>
    <w:rsid w:val="002C446A"/>
    <w:rsid w:val="002C5B3E"/>
    <w:rsid w:val="002C75EE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5B68"/>
    <w:rsid w:val="00307F85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36A5"/>
    <w:rsid w:val="00363B8D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564A"/>
    <w:rsid w:val="00395FFC"/>
    <w:rsid w:val="003963DF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04F5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B46B6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1F64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B6A"/>
    <w:rsid w:val="0070244D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874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7608"/>
    <w:rsid w:val="00780230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60FD"/>
    <w:rsid w:val="008168DF"/>
    <w:rsid w:val="0081727B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E0D6B"/>
    <w:rsid w:val="008E4F0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7F20"/>
    <w:rsid w:val="009B0CBB"/>
    <w:rsid w:val="009B5811"/>
    <w:rsid w:val="009B7B8C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5B46"/>
    <w:rsid w:val="00AB7D1B"/>
    <w:rsid w:val="00AC0BF3"/>
    <w:rsid w:val="00AC32D5"/>
    <w:rsid w:val="00AC3EDC"/>
    <w:rsid w:val="00AC4556"/>
    <w:rsid w:val="00AC6387"/>
    <w:rsid w:val="00AD38C4"/>
    <w:rsid w:val="00AE3368"/>
    <w:rsid w:val="00AE3516"/>
    <w:rsid w:val="00AE56C0"/>
    <w:rsid w:val="00AF04F7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5D68"/>
    <w:rsid w:val="00BB633A"/>
    <w:rsid w:val="00BB6AA8"/>
    <w:rsid w:val="00BC1EEE"/>
    <w:rsid w:val="00BC4499"/>
    <w:rsid w:val="00BC6567"/>
    <w:rsid w:val="00BD197C"/>
    <w:rsid w:val="00BD42B2"/>
    <w:rsid w:val="00BD56E1"/>
    <w:rsid w:val="00BD5D63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62"/>
    <w:rsid w:val="00C27B1D"/>
    <w:rsid w:val="00C328F2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19A0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8D4"/>
    <w:rsid w:val="00CD4C13"/>
    <w:rsid w:val="00CD55AA"/>
    <w:rsid w:val="00CD7F3F"/>
    <w:rsid w:val="00CE046E"/>
    <w:rsid w:val="00CE29CD"/>
    <w:rsid w:val="00CE3D20"/>
    <w:rsid w:val="00CE5F8F"/>
    <w:rsid w:val="00CE64CC"/>
    <w:rsid w:val="00CE713E"/>
    <w:rsid w:val="00CE7C86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1AAD"/>
    <w:rsid w:val="00D23045"/>
    <w:rsid w:val="00D234F5"/>
    <w:rsid w:val="00D2372C"/>
    <w:rsid w:val="00D239D8"/>
    <w:rsid w:val="00D25190"/>
    <w:rsid w:val="00D30EFC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2BA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ADA"/>
    <w:rsid w:val="00D73E3A"/>
    <w:rsid w:val="00D748F9"/>
    <w:rsid w:val="00D74F15"/>
    <w:rsid w:val="00D83D46"/>
    <w:rsid w:val="00D847BA"/>
    <w:rsid w:val="00D91AAB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E01B84"/>
    <w:rsid w:val="00E01E2C"/>
    <w:rsid w:val="00E0564D"/>
    <w:rsid w:val="00E05C55"/>
    <w:rsid w:val="00E068FD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727D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106FA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2CE9"/>
    <w:rsid w:val="00FE0085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48E192F2-9FD0-4E24-8AC2-83959AFC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141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박은성/책임연구원/차세대표준(연)ICS팀(esung.park@lge.com)</cp:lastModifiedBy>
  <cp:revision>28</cp:revision>
  <cp:lastPrinted>2016-01-08T21:12:00Z</cp:lastPrinted>
  <dcterms:created xsi:type="dcterms:W3CDTF">2019-07-16T14:40:00Z</dcterms:created>
  <dcterms:modified xsi:type="dcterms:W3CDTF">2021-07-12T00:34:00Z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