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F6D4206" w:rsidR="00A353D7" w:rsidRPr="00CC2C3C" w:rsidRDefault="00E97EB2" w:rsidP="00006AA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CR for </w:t>
            </w:r>
            <w:r w:rsidR="004C5551">
              <w:rPr>
                <w:b w:val="0"/>
              </w:rPr>
              <w:t>CID</w:t>
            </w:r>
            <w:r w:rsidR="00393D17">
              <w:rPr>
                <w:b w:val="0"/>
              </w:rPr>
              <w:t>s</w:t>
            </w:r>
            <w:r w:rsidR="004C5551">
              <w:rPr>
                <w:b w:val="0"/>
              </w:rPr>
              <w:t xml:space="preserve"> </w:t>
            </w:r>
            <w:r w:rsidR="001F0E2B">
              <w:rPr>
                <w:b w:val="0"/>
              </w:rPr>
              <w:t>1942</w:t>
            </w:r>
            <w:r w:rsidR="00006AAD">
              <w:rPr>
                <w:b w:val="0"/>
              </w:rPr>
              <w:t xml:space="preserve">, 1943 </w:t>
            </w:r>
            <w:r w:rsidR="001F0E2B">
              <w:rPr>
                <w:b w:val="0"/>
              </w:rPr>
              <w:t>and 2013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3F42E3A" w:rsidR="00A353D7" w:rsidRPr="00CC2C3C" w:rsidRDefault="00CA0CDA" w:rsidP="001F0E2B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F0E2B">
              <w:rPr>
                <w:b w:val="0"/>
                <w:sz w:val="20"/>
              </w:rPr>
              <w:t>May</w:t>
            </w:r>
            <w:r>
              <w:rPr>
                <w:b w:val="0"/>
                <w:sz w:val="20"/>
              </w:rPr>
              <w:t xml:space="preserve"> </w:t>
            </w:r>
            <w:r w:rsidR="00D87EC2">
              <w:rPr>
                <w:b w:val="0"/>
                <w:sz w:val="20"/>
              </w:rPr>
              <w:t>17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36013D">
        <w:trPr>
          <w:jc w:val="center"/>
        </w:trPr>
        <w:tc>
          <w:tcPr>
            <w:tcW w:w="1705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36013D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36013D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36013D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36013D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023A20E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5B36FF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EB5BC1" w:rsidRPr="00C6564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 w:rsidRPr="00C65641">
        <w:rPr>
          <w:rFonts w:cs="Times New Roman"/>
          <w:sz w:val="18"/>
          <w:szCs w:val="18"/>
          <w:lang w:eastAsia="ko-KR"/>
        </w:rPr>
        <w:t xml:space="preserve"> CC</w:t>
      </w:r>
      <w:r w:rsidR="00C46986" w:rsidRPr="00C65641">
        <w:rPr>
          <w:rFonts w:cs="Times New Roman"/>
          <w:sz w:val="18"/>
          <w:szCs w:val="18"/>
          <w:lang w:eastAsia="ko-KR"/>
        </w:rPr>
        <w:t>34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63A5801B" w14:textId="034196E0" w:rsidR="00EF03E1" w:rsidRDefault="001F0E2B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1942</w:t>
      </w:r>
      <w:r w:rsidR="005B36FF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eastAsia="ko-KR"/>
        </w:rPr>
        <w:t>1943, 2013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5C150E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5C150E" w:rsidRDefault="00E83BB8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>
              <w:rPr>
                <w:rFonts w:ascii="Calibri" w:eastAsia="宋体" w:hAnsi="Calibri" w:cs="Calibri"/>
                <w:b/>
                <w:bCs/>
                <w:lang w:eastAsia="zh-CN"/>
              </w:rPr>
              <w:t>Co</w:t>
            </w:r>
            <w:r w:rsidR="00AE6EE9">
              <w:rPr>
                <w:rFonts w:ascii="Calibri" w:eastAsia="宋体" w:hAnsi="Calibri" w:cs="Calibri"/>
                <w:b/>
                <w:bCs/>
                <w:lang w:eastAsia="zh-CN"/>
              </w:rPr>
              <w:t>m</w:t>
            </w:r>
            <w:r w:rsidR="005C150E" w:rsidRPr="005C150E">
              <w:rPr>
                <w:rFonts w:ascii="Calibri" w:eastAsia="宋体" w:hAnsi="Calibri" w:cs="Calibri"/>
                <w:b/>
                <w:bCs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Resolution</w:t>
            </w:r>
          </w:p>
        </w:tc>
      </w:tr>
      <w:tr w:rsidR="001F0E2B" w:rsidRPr="005C150E" w14:paraId="14308E74" w14:textId="77777777" w:rsidTr="00006AAD">
        <w:trPr>
          <w:trHeight w:val="2587"/>
        </w:trPr>
        <w:tc>
          <w:tcPr>
            <w:tcW w:w="662" w:type="dxa"/>
            <w:shd w:val="clear" w:color="auto" w:fill="auto"/>
            <w:hideMark/>
          </w:tcPr>
          <w:p w14:paraId="5A015A58" w14:textId="480F83F2" w:rsidR="001F0E2B" w:rsidRPr="005C150E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1942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0B90291D" w:rsidR="001F0E2B" w:rsidRPr="005C150E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21408D7D" w:rsidR="001F0E2B" w:rsidRPr="005C150E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146.44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7592F710" w:rsidR="001F0E2B" w:rsidRPr="005C150E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35.4.1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2566CD6A" w:rsidR="001F0E2B" w:rsidRPr="005C150E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UORA for EHT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683CF9C3" w:rsidR="001F0E2B" w:rsidRPr="005C150E" w:rsidRDefault="001F0E2B" w:rsidP="001F0E2B">
            <w:pPr>
              <w:spacing w:after="24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  <w:hideMark/>
          </w:tcPr>
          <w:p w14:paraId="7FB5A1D7" w14:textId="77777777" w:rsidR="001F0E2B" w:rsidRDefault="00EB16CE" w:rsidP="00F81674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Rejecte</w:t>
            </w:r>
            <w:r w:rsidR="001F0E2B"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d-</w:t>
            </w:r>
            <w:r w:rsidR="001F0E2B"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1F0E2B"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A82F2F" w:rsidRPr="00A82F2F">
              <w:rPr>
                <w:rFonts w:ascii="Arial" w:eastAsia="宋体" w:hAnsi="Arial" w:cs="Arial"/>
                <w:sz w:val="18"/>
                <w:szCs w:val="18"/>
                <w:lang w:eastAsia="zh-CN"/>
              </w:rPr>
              <w:t>The comment does not identify a specific technical problem. The comment also fails to identify changes in sufficient detail so that the specific wording of the changes that will satisfy the commenter can be determined.</w:t>
            </w:r>
          </w:p>
          <w:p w14:paraId="7F08EB1C" w14:textId="40AC03D9" w:rsidR="00D87EC2" w:rsidRPr="005C150E" w:rsidRDefault="00D87EC2" w:rsidP="00F81674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Moreover, UORA for EHT is naturally supported with the current draft spec text.</w:t>
            </w:r>
            <w:bookmarkStart w:id="1" w:name="_GoBack"/>
            <w:bookmarkEnd w:id="1"/>
          </w:p>
        </w:tc>
      </w:tr>
      <w:tr w:rsidR="001F0E2B" w:rsidRPr="005C150E" w14:paraId="21FF3DE9" w14:textId="77777777" w:rsidTr="004C5551">
        <w:trPr>
          <w:trHeight w:val="2547"/>
        </w:trPr>
        <w:tc>
          <w:tcPr>
            <w:tcW w:w="662" w:type="dxa"/>
            <w:shd w:val="clear" w:color="auto" w:fill="auto"/>
          </w:tcPr>
          <w:p w14:paraId="228005FF" w14:textId="1372DB22" w:rsidR="001F0E2B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039" w:type="dxa"/>
            <w:shd w:val="clear" w:color="auto" w:fill="auto"/>
          </w:tcPr>
          <w:p w14:paraId="2472C0F5" w14:textId="0BB91C25" w:rsidR="001F0E2B" w:rsidRPr="009D56AD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Jian Yu</w:t>
            </w:r>
          </w:p>
        </w:tc>
        <w:tc>
          <w:tcPr>
            <w:tcW w:w="709" w:type="dxa"/>
            <w:shd w:val="clear" w:color="auto" w:fill="auto"/>
          </w:tcPr>
          <w:p w14:paraId="61614F1E" w14:textId="1ADFF129" w:rsidR="001F0E2B" w:rsidRPr="009D56AD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147.01</w:t>
            </w:r>
          </w:p>
        </w:tc>
        <w:tc>
          <w:tcPr>
            <w:tcW w:w="851" w:type="dxa"/>
            <w:shd w:val="clear" w:color="auto" w:fill="auto"/>
          </w:tcPr>
          <w:p w14:paraId="6D25231D" w14:textId="52578A79" w:rsidR="001F0E2B" w:rsidRPr="009D56AD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35.7</w:t>
            </w:r>
          </w:p>
        </w:tc>
        <w:tc>
          <w:tcPr>
            <w:tcW w:w="1984" w:type="dxa"/>
            <w:shd w:val="clear" w:color="auto" w:fill="auto"/>
          </w:tcPr>
          <w:p w14:paraId="44C0FAFB" w14:textId="6D491719" w:rsidR="001F0E2B" w:rsidRPr="009D56AD" w:rsidRDefault="001F0E2B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spatial reuse for EHT</w:t>
            </w:r>
          </w:p>
        </w:tc>
        <w:tc>
          <w:tcPr>
            <w:tcW w:w="1843" w:type="dxa"/>
            <w:shd w:val="clear" w:color="auto" w:fill="auto"/>
          </w:tcPr>
          <w:p w14:paraId="3A695B4E" w14:textId="5DFD6B48" w:rsidR="001F0E2B" w:rsidRPr="00277172" w:rsidRDefault="001F0E2B" w:rsidP="001F0E2B">
            <w:pPr>
              <w:spacing w:after="24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76E09D4B" w14:textId="78C31207" w:rsidR="001F0E2B" w:rsidRPr="005C150E" w:rsidRDefault="002E2F00" w:rsidP="001F0E2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Rejecte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A82F2F">
              <w:rPr>
                <w:rFonts w:ascii="Arial" w:eastAsia="宋体" w:hAnsi="Arial" w:cs="Arial"/>
                <w:sz w:val="18"/>
                <w:szCs w:val="18"/>
                <w:lang w:eastAsia="zh-CN"/>
              </w:rPr>
              <w:t>The comment does not identify a specific technical problem. The comment also fails to identify changes in sufficient detail so that the specific wording of the changes that will satisfy the commenter can be determined.</w:t>
            </w:r>
          </w:p>
        </w:tc>
      </w:tr>
      <w:tr w:rsidR="002E2F00" w:rsidRPr="005C150E" w14:paraId="316C5170" w14:textId="77777777" w:rsidTr="004C5551">
        <w:trPr>
          <w:trHeight w:val="2547"/>
        </w:trPr>
        <w:tc>
          <w:tcPr>
            <w:tcW w:w="662" w:type="dxa"/>
            <w:shd w:val="clear" w:color="auto" w:fill="auto"/>
          </w:tcPr>
          <w:p w14:paraId="782AED59" w14:textId="29DAABDC" w:rsidR="002E2F00" w:rsidRDefault="002E2F00" w:rsidP="002E2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039" w:type="dxa"/>
            <w:shd w:val="clear" w:color="auto" w:fill="auto"/>
          </w:tcPr>
          <w:p w14:paraId="4DCCD5B2" w14:textId="77777777" w:rsidR="002E2F00" w:rsidRDefault="002E2F00" w:rsidP="002E2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JINYOUNG CHUN</w:t>
            </w:r>
          </w:p>
          <w:p w14:paraId="21E05C5B" w14:textId="77777777" w:rsidR="002E2F00" w:rsidRDefault="002E2F00" w:rsidP="002E2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212320" w14:textId="77777777" w:rsidR="002E2F00" w:rsidRDefault="002E2F00" w:rsidP="002E2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146.49</w:t>
            </w:r>
          </w:p>
          <w:p w14:paraId="3743E48D" w14:textId="77777777" w:rsidR="002E2F00" w:rsidRDefault="002E2F00" w:rsidP="002E2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B0E550" w14:textId="77777777" w:rsidR="002E2F00" w:rsidRDefault="002E2F00" w:rsidP="002E2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</w:t>
            </w:r>
          </w:p>
          <w:p w14:paraId="42A3D8BA" w14:textId="77777777" w:rsidR="002E2F00" w:rsidRDefault="002E2F00" w:rsidP="002E2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2BE39CE" w14:textId="55F04CC8" w:rsidR="002E2F00" w:rsidRDefault="002E2F00" w:rsidP="002E2F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26.5.7 NDP feedback report procedure should be updated in 11be because the description such as TXVECTOR parameters in 26.5.7 isn't suitable for EHT</w:t>
            </w:r>
          </w:p>
        </w:tc>
        <w:tc>
          <w:tcPr>
            <w:tcW w:w="1843" w:type="dxa"/>
            <w:shd w:val="clear" w:color="auto" w:fill="auto"/>
          </w:tcPr>
          <w:p w14:paraId="76BC4C54" w14:textId="7EBE70F7" w:rsidR="002E2F00" w:rsidRDefault="002E2F00" w:rsidP="002E2F0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Let's make NDP feedback report procedure section for EHT STA</w:t>
            </w:r>
          </w:p>
        </w:tc>
        <w:tc>
          <w:tcPr>
            <w:tcW w:w="2219" w:type="dxa"/>
            <w:shd w:val="clear" w:color="auto" w:fill="auto"/>
          </w:tcPr>
          <w:p w14:paraId="7BABAE1F" w14:textId="77777777" w:rsidR="002E2F00" w:rsidRDefault="00006AAD" w:rsidP="002E2F00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Rejecte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A82F2F">
              <w:rPr>
                <w:rFonts w:ascii="Arial" w:eastAsia="宋体" w:hAnsi="Arial" w:cs="Arial"/>
                <w:sz w:val="18"/>
                <w:szCs w:val="18"/>
                <w:lang w:eastAsia="zh-CN"/>
              </w:rPr>
              <w:t>The comment does not identify a specific technical problem. The comment also fails to identify changes in sufficient detail so that the specific wording of the changes that will satisfy the commenter can be determined.</w:t>
            </w:r>
          </w:p>
          <w:p w14:paraId="30C93112" w14:textId="1980DD47" w:rsidR="00D87EC2" w:rsidRDefault="00D87EC2" w:rsidP="002E2F00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Moreover, it is not decided whether NDP feedback procedure will be further extended to EHT for 320MHz.</w:t>
            </w:r>
          </w:p>
        </w:tc>
      </w:tr>
    </w:tbl>
    <w:p w14:paraId="1E7FCD8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6CF34E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5A33B70" w14:textId="422C356B" w:rsidR="00662D8A" w:rsidRPr="00AD73C3" w:rsidRDefault="00662D8A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  <w:r w:rsidRPr="00AD73C3">
        <w:rPr>
          <w:b/>
          <w:i/>
          <w:iCs/>
        </w:rPr>
        <w:br w:type="page"/>
      </w:r>
    </w:p>
    <w:p w14:paraId="5ED68DC2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eastAsia="TimesNewRomanPSMT"/>
          <w:color w:val="000000"/>
          <w:sz w:val="20"/>
          <w:szCs w:val="20"/>
        </w:rPr>
      </w:pPr>
    </w:p>
    <w:p w14:paraId="68092670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60A6A" w14:textId="3F2EA639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b/>
          <w:color w:val="FF0000"/>
          <w:sz w:val="20"/>
          <w:lang w:eastAsia="ko-KR"/>
        </w:rPr>
        <w:t xml:space="preserve">draft text </w:t>
      </w:r>
      <w:r w:rsidRPr="0005449D">
        <w:rPr>
          <w:b/>
          <w:color w:val="FF0000"/>
          <w:sz w:val="20"/>
          <w:lang w:eastAsia="ko-KR"/>
        </w:rPr>
        <w:t>in this document 11-</w:t>
      </w:r>
      <w:r>
        <w:rPr>
          <w:b/>
          <w:color w:val="FF0000"/>
          <w:sz w:val="20"/>
          <w:lang w:eastAsia="ko-KR"/>
        </w:rPr>
        <w:t>21</w:t>
      </w:r>
      <w:r w:rsidRPr="0005449D">
        <w:rPr>
          <w:b/>
          <w:color w:val="FF0000"/>
          <w:sz w:val="20"/>
          <w:lang w:eastAsia="ko-KR"/>
        </w:rPr>
        <w:t>/</w:t>
      </w:r>
      <w:r w:rsidR="00D87EC2">
        <w:rPr>
          <w:b/>
          <w:color w:val="FF0000"/>
          <w:sz w:val="20"/>
          <w:lang w:eastAsia="ko-KR"/>
        </w:rPr>
        <w:t>0860</w:t>
      </w:r>
      <w:r w:rsidRPr="0005449D">
        <w:rPr>
          <w:b/>
          <w:color w:val="FF0000"/>
          <w:sz w:val="20"/>
          <w:lang w:eastAsia="ko-KR"/>
        </w:rPr>
        <w:t>r</w:t>
      </w:r>
      <w:r>
        <w:rPr>
          <w:b/>
          <w:color w:val="FF0000"/>
          <w:sz w:val="20"/>
          <w:lang w:eastAsia="ko-KR"/>
        </w:rPr>
        <w:t>0</w:t>
      </w:r>
      <w:r w:rsidRPr="0005449D">
        <w:rPr>
          <w:b/>
          <w:color w:val="FF0000"/>
          <w:sz w:val="20"/>
          <w:lang w:eastAsia="ko-KR"/>
        </w:rPr>
        <w:t xml:space="preserve"> to the</w:t>
      </w:r>
      <w:r>
        <w:rPr>
          <w:b/>
          <w:color w:val="FF0000"/>
          <w:sz w:val="20"/>
          <w:lang w:eastAsia="ko-KR"/>
        </w:rPr>
        <w:t xml:space="preserve"> next revision of</w:t>
      </w:r>
      <w:r w:rsidRPr="0005449D">
        <w:rPr>
          <w:b/>
          <w:color w:val="FF0000"/>
          <w:sz w:val="20"/>
          <w:lang w:eastAsia="ko-KR"/>
        </w:rPr>
        <w:t xml:space="preserve"> </w:t>
      </w:r>
      <w:proofErr w:type="spellStart"/>
      <w:r w:rsidRPr="0005449D">
        <w:rPr>
          <w:b/>
          <w:color w:val="FF0000"/>
          <w:sz w:val="20"/>
          <w:lang w:eastAsia="ko-KR"/>
        </w:rPr>
        <w:t>TGb</w:t>
      </w:r>
      <w:r>
        <w:rPr>
          <w:b/>
          <w:color w:val="FF0000"/>
          <w:sz w:val="20"/>
          <w:lang w:eastAsia="ko-KR"/>
        </w:rPr>
        <w:t>e</w:t>
      </w:r>
      <w:proofErr w:type="spellEnd"/>
      <w:r w:rsidR="00D87EC2">
        <w:rPr>
          <w:b/>
          <w:color w:val="FF0000"/>
          <w:sz w:val="20"/>
          <w:lang w:eastAsia="ko-KR"/>
        </w:rPr>
        <w:t xml:space="preserve"> Draft</w:t>
      </w:r>
      <w:r w:rsidRPr="0005449D">
        <w:rPr>
          <w:b/>
          <w:color w:val="FF0000"/>
          <w:sz w:val="20"/>
          <w:lang w:eastAsia="ko-KR"/>
        </w:rPr>
        <w:t>?</w:t>
      </w:r>
    </w:p>
    <w:p w14:paraId="024A2F72" w14:textId="77777777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Result: </w:t>
      </w:r>
      <w:r>
        <w:rPr>
          <w:b/>
          <w:color w:val="FF0000"/>
          <w:sz w:val="20"/>
          <w:lang w:eastAsia="ko-KR"/>
        </w:rPr>
        <w:t xml:space="preserve">Yes/No/Abstain </w:t>
      </w:r>
    </w:p>
    <w:p w14:paraId="5FF12D9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B064D" w14:textId="77777777" w:rsidR="002E4725" w:rsidRDefault="002E4725">
      <w:pPr>
        <w:spacing w:after="0" w:line="240" w:lineRule="auto"/>
      </w:pPr>
      <w:r>
        <w:separator/>
      </w:r>
    </w:p>
  </w:endnote>
  <w:endnote w:type="continuationSeparator" w:id="0">
    <w:p w14:paraId="446F4EF7" w14:textId="77777777" w:rsidR="002E4725" w:rsidRDefault="002E4725">
      <w:pPr>
        <w:spacing w:after="0" w:line="240" w:lineRule="auto"/>
      </w:pPr>
      <w:r>
        <w:continuationSeparator/>
      </w:r>
    </w:p>
  </w:endnote>
  <w:endnote w:type="continuationNotice" w:id="1">
    <w:p w14:paraId="7A285AD1" w14:textId="77777777" w:rsidR="002E4725" w:rsidRDefault="002E4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6C3AE3" w:rsidRPr="00CB5571" w:rsidRDefault="006C3AE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D2FE4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2FE4"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="00CD2FE4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D2FE4"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6C3AE3" w:rsidRPr="00CB5571" w:rsidRDefault="006C3AE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87EC2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2FE4"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E83BB8"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003F0" w14:textId="77777777" w:rsidR="002E4725" w:rsidRDefault="002E4725">
      <w:pPr>
        <w:spacing w:after="0" w:line="240" w:lineRule="auto"/>
      </w:pPr>
      <w:r>
        <w:separator/>
      </w:r>
    </w:p>
  </w:footnote>
  <w:footnote w:type="continuationSeparator" w:id="0">
    <w:p w14:paraId="357CBA47" w14:textId="77777777" w:rsidR="002E4725" w:rsidRDefault="002E4725">
      <w:pPr>
        <w:spacing w:after="0" w:line="240" w:lineRule="auto"/>
      </w:pPr>
      <w:r>
        <w:continuationSeparator/>
      </w:r>
    </w:p>
  </w:footnote>
  <w:footnote w:type="continuationNotice" w:id="1">
    <w:p w14:paraId="486797F0" w14:textId="77777777" w:rsidR="002E4725" w:rsidRDefault="002E4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6C3AE3" w:rsidRPr="002D636E" w:rsidRDefault="006C3AE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D2FE4">
      <w:rPr>
        <w:rFonts w:ascii="Times New Roman" w:eastAsia="Malgun Gothic" w:hAnsi="Times New Roman" w:cs="Times New Roman"/>
        <w:b/>
        <w:sz w:val="28"/>
        <w:szCs w:val="20"/>
        <w:lang w:val="en-GB"/>
      </w:rPr>
      <w:t>xxxx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D2FE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589B9899" w:rsidR="006C3AE3" w:rsidRPr="00DE6B44" w:rsidRDefault="0034658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C3AE3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C3AE3">
      <w:rPr>
        <w:rFonts w:ascii="Times New Roman" w:eastAsia="Malgun Gothic" w:hAnsi="Times New Roman" w:cs="Times New Roman"/>
        <w:b/>
        <w:sz w:val="28"/>
        <w:szCs w:val="20"/>
      </w:rPr>
      <w:tab/>
    </w:r>
    <w:r w:rsidR="006C3AE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</w:t>
    </w:r>
    <w:r w:rsidR="006C3AE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C3AE3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D87EC2">
      <w:rPr>
        <w:rFonts w:ascii="Times New Roman" w:eastAsia="Malgun Gothic" w:hAnsi="Times New Roman" w:cs="Times New Roman"/>
        <w:b/>
        <w:sz w:val="28"/>
        <w:szCs w:val="20"/>
        <w:lang w:val="en-GB"/>
      </w:rPr>
      <w:t>0860</w:t>
    </w:r>
    <w:r w:rsidR="000F32AA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14A68DA-0E5F-4F16-A817-28E86BE4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6</cp:revision>
  <dcterms:created xsi:type="dcterms:W3CDTF">2021-05-14T07:29:00Z</dcterms:created>
  <dcterms:modified xsi:type="dcterms:W3CDTF">2021-05-17T02:43:00Z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(3)EJxd1YLa7i2dqczPp19qR+cdk4EAn45ZpLxOPgx6z23gokAMfe3SQZhb+BMiyv6wkfWENdPZ
gCUAQ393i5NAHhAZKFdoCI/p1zJy7Rrn9iVEmPe/8fYIvezYj2gX2w2Mell64F92Dki5iboU
I8aDowg+rlCWDHYmiYcXvCdW2RzDj2E0zZBcIrANV7srxp2XDgdX0WmeL0COHt04Ktwh//JH
CZT7p0RyFTRHkXh+cs</vt:lpwstr>
  </property>
  <property fmtid="{D5CDD505-2E9C-101B-9397-08002B2CF9AE}" pid="6" name="_2015_ms_pID_7253431">
    <vt:lpwstr>+RQQFncJ0o099j/n0Vz+IZxbh6fB6QfPpSihezxGCQAnlqn4kTK6/Y
XF7qvHcANjgV7Jp9mck3vwyycvKk9x0ulx0QWO2dvjZQSaiD6Ldko89x66kuZIgR1fTwUihs
Fz2HjbRxbN7q7RKIY1FGRCa5eJhiQp5OCMf1hlAYB2QCMSGGdCv1fx3OCk3U5E9x9G8aHPGP
w8xw41BxBaUvOZZvpX8HFfTZ6XMbuf0tXQ6A</vt:lpwstr>
  </property>
  <property fmtid="{D5CDD505-2E9C-101B-9397-08002B2CF9AE}" pid="7" name="_2015_ms_pID_7253432">
    <vt:lpwstr>XA==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1621219047</vt:lpwstr>
  </property>
</Properties>
</file>