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D9B2D76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>CID</w:t>
            </w:r>
            <w:r w:rsidR="007F39B7">
              <w:t>s</w:t>
            </w:r>
            <w:r w:rsidR="001469CF">
              <w:t xml:space="preserve"> 57</w:t>
            </w:r>
            <w:r w:rsidR="007F39B7">
              <w:t>2, 576 and 580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612DA6ED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1469CF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1469CF">
              <w:rPr>
                <w:b w:val="0"/>
                <w:sz w:val="20"/>
              </w:rPr>
              <w:t>1</w:t>
            </w:r>
            <w:r w:rsidR="00821820">
              <w:rPr>
                <w:b w:val="0"/>
                <w:sz w:val="20"/>
              </w:rPr>
              <w:t>4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D42967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2254B918" w:rsidR="00E05EA6" w:rsidRPr="00BC098A" w:rsidRDefault="00E05EA6" w:rsidP="00BC098A">
                            <w:r>
                              <w:t xml:space="preserve">This document proposes comment resolutions for </w:t>
                            </w:r>
                            <w:r w:rsidR="007F39B7">
                              <w:t>CIDs 572, 576 and580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D0.0</w:t>
                            </w:r>
                            <w:r w:rsidR="007F39B7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2254B918" w:rsidR="00E05EA6" w:rsidRPr="00BC098A" w:rsidRDefault="00E05EA6" w:rsidP="00BC098A">
                      <w:r>
                        <w:t xml:space="preserve">This document proposes comment resolutions for </w:t>
                      </w:r>
                      <w:r w:rsidR="007F39B7">
                        <w:t>CIDs 572, 576 and580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D0.0</w:t>
                      </w:r>
                      <w:r w:rsidR="007F39B7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95"/>
              <w:gridCol w:w="850"/>
              <w:gridCol w:w="745"/>
              <w:gridCol w:w="2174"/>
              <w:gridCol w:w="3727"/>
              <w:gridCol w:w="1104"/>
              <w:gridCol w:w="890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12586C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9A61C3" w14:paraId="7F06B631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3B01781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81443D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1473.00</w:t>
                  </w:r>
                </w:p>
                <w:p w14:paraId="1DC2660C" w14:textId="5114D34D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AEF51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9.4.5.15</w:t>
                  </w:r>
                </w:p>
                <w:p w14:paraId="45D1A716" w14:textId="7B632FBB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15C9C077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What does the phrase "IEEE 802.11 access network" mean?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4C51F105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Add the following definition to clause 3.2: "IEEE 802.11 access network: a network that provides access to an external network reachable via the BSS."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3D5C417F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6846967E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9A61C3" w14:paraId="76723F6B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D226F2" w14:textId="281BF272" w:rsid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576F00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276.00</w:t>
                  </w:r>
                </w:p>
                <w:p w14:paraId="0D2CD7D4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95AB19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4.5.9.2.2</w:t>
                  </w:r>
                </w:p>
                <w:p w14:paraId="0C60962F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6E39CE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AC77A1" w14:textId="1D23AEAA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There is no definition for "ANQP Server", as it should be an "Advertisement Server"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764A75" w14:textId="7CF0719E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Change "ANQP Server" to "Advertisement Server" and P277L21. 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1344B8" w14:textId="27291C2D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4014FF" w14:textId="77777777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9A61C3" w14:paraId="7299FFA8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78A657" w14:textId="684C0E93" w:rsid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9DB55A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4558.00</w:t>
                  </w:r>
                </w:p>
                <w:p w14:paraId="339246BA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7D6901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R.2.1</w:t>
                  </w:r>
                </w:p>
                <w:p w14:paraId="0DB00F5C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4A0255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483C69" w14:textId="6E60D817" w:rsidR="009A61C3" w:rsidRDefault="009A61C3" w:rsidP="009A61C3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The term "access network server" is not defined.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42778F" w14:textId="144ED189" w:rsidR="009A61C3" w:rsidRDefault="009A61C3" w:rsidP="009A61C3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Remove the phrase "(e.g., an access network server or an IEEE 802.21 Information Server)" from the cited sentence, as an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advertisment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server has been defined within the main body of the standard. These examples are not necessary.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F1ACF9" w14:textId="5397FA39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85A866" w14:textId="77777777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70B8DE91" w14:textId="274D9653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</w:t>
      </w:r>
    </w:p>
    <w:p w14:paraId="668CC85D" w14:textId="41EF8C4D" w:rsidR="007F39B7" w:rsidRDefault="007F39B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34C2BE52" w14:textId="7CA724A5" w:rsidR="00294341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294341">
        <w:rPr>
          <w:sz w:val="22"/>
          <w:szCs w:val="22"/>
        </w:rPr>
        <w:t>572: The term “access network” is commonly used throughout the specification, so the revised change suggests using this term.</w:t>
      </w:r>
    </w:p>
    <w:p w14:paraId="1FF9E174" w14:textId="77777777" w:rsidR="00294341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</w:p>
    <w:p w14:paraId="1DE62AC2" w14:textId="2E0C1121" w:rsidR="007F39B7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294341">
        <w:rPr>
          <w:sz w:val="22"/>
          <w:szCs w:val="22"/>
        </w:rPr>
        <w:t xml:space="preserve">576, 580: </w:t>
      </w:r>
      <w:r w:rsidR="007F39B7" w:rsidRPr="00294341">
        <w:rPr>
          <w:sz w:val="22"/>
          <w:szCs w:val="22"/>
        </w:rPr>
        <w:t>The proposed changes are to change spurious definitions to ones that are used more often.</w:t>
      </w:r>
    </w:p>
    <w:p w14:paraId="149AC08D" w14:textId="77777777" w:rsidR="001469CF" w:rsidRPr="00294341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222BCED6" w14:textId="47AB2621" w:rsidR="00C65767" w:rsidRPr="00294341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 w:rsidRPr="00294341">
        <w:rPr>
          <w:b/>
          <w:bCs/>
          <w:sz w:val="22"/>
          <w:szCs w:val="22"/>
        </w:rPr>
        <w:t>Proposed Comment Resolution</w:t>
      </w:r>
    </w:p>
    <w:p w14:paraId="0BE2A49F" w14:textId="10D21911" w:rsidR="007F39B7" w:rsidRPr="00294341" w:rsidRDefault="007F39B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67186895" w14:textId="339CFDC7" w:rsidR="007F39B7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  <w:r w:rsidRPr="00294341">
        <w:rPr>
          <w:sz w:val="22"/>
          <w:szCs w:val="22"/>
        </w:rPr>
        <w:t>572: Revised: Change “</w:t>
      </w:r>
      <w:r w:rsidRPr="00294341">
        <w:rPr>
          <w:color w:val="000000"/>
          <w:sz w:val="22"/>
          <w:szCs w:val="22"/>
        </w:rPr>
        <w:t>IEEE 802.11 access network</w:t>
      </w:r>
      <w:r w:rsidRPr="00294341">
        <w:rPr>
          <w:color w:val="000000"/>
          <w:sz w:val="22"/>
          <w:szCs w:val="22"/>
        </w:rPr>
        <w:t>” to “access network”.</w:t>
      </w:r>
    </w:p>
    <w:p w14:paraId="28C09057" w14:textId="7E6E134C" w:rsidR="00294341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color w:val="000000"/>
          <w:sz w:val="22"/>
          <w:szCs w:val="22"/>
        </w:rPr>
      </w:pPr>
    </w:p>
    <w:p w14:paraId="5FE74591" w14:textId="0F207DF1" w:rsidR="00294341" w:rsidRPr="00294341" w:rsidRDefault="00294341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294341">
        <w:rPr>
          <w:color w:val="000000"/>
          <w:sz w:val="22"/>
          <w:szCs w:val="22"/>
        </w:rPr>
        <w:t>576, 580: Accept</w:t>
      </w:r>
    </w:p>
    <w:p w14:paraId="46E042CB" w14:textId="246F322D" w:rsidR="00F20469" w:rsidRPr="00294341" w:rsidRDefault="00F20469" w:rsidP="009A61C3">
      <w:pPr>
        <w:tabs>
          <w:tab w:val="left" w:pos="700"/>
        </w:tabs>
        <w:kinsoku w:val="0"/>
        <w:overflowPunct w:val="0"/>
      </w:pPr>
    </w:p>
    <w:sectPr w:rsidR="00F20469" w:rsidRPr="00294341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E23D" w14:textId="77777777" w:rsidR="00D42967" w:rsidRDefault="00D42967">
      <w:r>
        <w:separator/>
      </w:r>
    </w:p>
  </w:endnote>
  <w:endnote w:type="continuationSeparator" w:id="0">
    <w:p w14:paraId="2C2CD770" w14:textId="77777777" w:rsidR="00D42967" w:rsidRDefault="00D4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041D" w14:textId="77777777" w:rsidR="00D42967" w:rsidRDefault="00D42967">
      <w:r>
        <w:separator/>
      </w:r>
    </w:p>
  </w:footnote>
  <w:footnote w:type="continuationSeparator" w:id="0">
    <w:p w14:paraId="3321A5AB" w14:textId="77777777" w:rsidR="00D42967" w:rsidRDefault="00D4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5163AB9A" w:rsidR="00334CEF" w:rsidRPr="002C74FE" w:rsidRDefault="00334CEF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 w:rsidRPr="002C74FE">
      <w:rPr>
        <w:b/>
        <w:bCs/>
        <w:sz w:val="28"/>
        <w:szCs w:val="28"/>
      </w:rPr>
      <w:t>May 2021</w:t>
    </w:r>
    <w:r w:rsidRPr="002C74FE">
      <w:rPr>
        <w:b/>
        <w:bCs/>
        <w:sz w:val="28"/>
        <w:szCs w:val="28"/>
      </w:rPr>
      <w:tab/>
    </w:r>
    <w:r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Pr="002C74FE">
      <w:rPr>
        <w:b/>
        <w:bCs/>
        <w:sz w:val="28"/>
        <w:szCs w:val="28"/>
      </w:rPr>
      <w:fldChar w:fldCharType="begin"/>
    </w:r>
    <w:r w:rsidRPr="002C74FE">
      <w:rPr>
        <w:b/>
        <w:bCs/>
        <w:sz w:val="28"/>
        <w:szCs w:val="28"/>
      </w:rPr>
      <w:instrText xml:space="preserve"> TITLE  \* MERGEFORMAT </w:instrText>
    </w:r>
    <w:r w:rsidRPr="002C74FE">
      <w:rPr>
        <w:b/>
        <w:bCs/>
        <w:sz w:val="28"/>
        <w:szCs w:val="28"/>
      </w:rPr>
      <w:fldChar w:fldCharType="separate"/>
    </w:r>
    <w:r w:rsidR="00821820">
      <w:rPr>
        <w:b/>
        <w:bCs/>
        <w:sz w:val="28"/>
        <w:szCs w:val="28"/>
      </w:rPr>
      <w:t>doc.: IEEE 802.11-21/0838r1</w:t>
    </w:r>
    <w:r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C0F1E"/>
    <w:rsid w:val="00116820"/>
    <w:rsid w:val="00121F9B"/>
    <w:rsid w:val="0012586C"/>
    <w:rsid w:val="001469CF"/>
    <w:rsid w:val="00167792"/>
    <w:rsid w:val="001E0A86"/>
    <w:rsid w:val="00251BCD"/>
    <w:rsid w:val="00294341"/>
    <w:rsid w:val="002C74FE"/>
    <w:rsid w:val="002D3B9D"/>
    <w:rsid w:val="002D51A1"/>
    <w:rsid w:val="00324A61"/>
    <w:rsid w:val="003345BC"/>
    <w:rsid w:val="00334CEF"/>
    <w:rsid w:val="00390AAE"/>
    <w:rsid w:val="004061BD"/>
    <w:rsid w:val="004850AC"/>
    <w:rsid w:val="00485B50"/>
    <w:rsid w:val="004B38CC"/>
    <w:rsid w:val="004C1C45"/>
    <w:rsid w:val="004D548C"/>
    <w:rsid w:val="00534A6E"/>
    <w:rsid w:val="0056504E"/>
    <w:rsid w:val="005963CD"/>
    <w:rsid w:val="005A0B88"/>
    <w:rsid w:val="005B14A9"/>
    <w:rsid w:val="00664BF8"/>
    <w:rsid w:val="006777E0"/>
    <w:rsid w:val="006B1565"/>
    <w:rsid w:val="007177C9"/>
    <w:rsid w:val="007546F2"/>
    <w:rsid w:val="00771407"/>
    <w:rsid w:val="00783082"/>
    <w:rsid w:val="007B39DF"/>
    <w:rsid w:val="007F39B7"/>
    <w:rsid w:val="00802EFC"/>
    <w:rsid w:val="00821820"/>
    <w:rsid w:val="00833871"/>
    <w:rsid w:val="008574AC"/>
    <w:rsid w:val="00866F08"/>
    <w:rsid w:val="00890010"/>
    <w:rsid w:val="008B581D"/>
    <w:rsid w:val="008F59B4"/>
    <w:rsid w:val="009065E4"/>
    <w:rsid w:val="00977649"/>
    <w:rsid w:val="009A61C3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437DD"/>
    <w:rsid w:val="00B779E9"/>
    <w:rsid w:val="00BB2F0B"/>
    <w:rsid w:val="00BB6E41"/>
    <w:rsid w:val="00BC098A"/>
    <w:rsid w:val="00BD2905"/>
    <w:rsid w:val="00BE13E0"/>
    <w:rsid w:val="00C65767"/>
    <w:rsid w:val="00C73F4D"/>
    <w:rsid w:val="00CD33A3"/>
    <w:rsid w:val="00CF2047"/>
    <w:rsid w:val="00D05CC7"/>
    <w:rsid w:val="00D247EE"/>
    <w:rsid w:val="00D42967"/>
    <w:rsid w:val="00D555AE"/>
    <w:rsid w:val="00D94698"/>
    <w:rsid w:val="00DD74D6"/>
    <w:rsid w:val="00E05EA6"/>
    <w:rsid w:val="00E10F75"/>
    <w:rsid w:val="00E32A3F"/>
    <w:rsid w:val="00E508AC"/>
    <w:rsid w:val="00EA2CC3"/>
    <w:rsid w:val="00ED3B15"/>
    <w:rsid w:val="00EE3723"/>
    <w:rsid w:val="00F03A97"/>
    <w:rsid w:val="00F20469"/>
    <w:rsid w:val="00F40F36"/>
    <w:rsid w:val="00F44B84"/>
    <w:rsid w:val="00F53B32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802.11-21/0838r1</vt:lpstr>
    </vt:vector>
  </TitlesOfParts>
  <Company>Huawei Technologies Co., Ltd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802.11-21/0838r1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2021-05-14T09:28:00Z</dcterms:created>
  <dcterms:modified xsi:type="dcterms:W3CDTF">2021-05-14T09:29:00Z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