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5A78587E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>CID 5</w:t>
            </w:r>
            <w:r w:rsidR="00CA2FE0">
              <w:t>00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1469CF">
              <w:t>0</w:t>
            </w:r>
            <w:r>
              <w:t>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6E45E688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1469CF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1469CF">
              <w:rPr>
                <w:b w:val="0"/>
                <w:sz w:val="20"/>
              </w:rPr>
              <w:t>1</w:t>
            </w:r>
            <w:r w:rsidR="00856630">
              <w:rPr>
                <w:b w:val="0"/>
                <w:sz w:val="20"/>
              </w:rPr>
              <w:t>3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BB58DD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4804F7FC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856630">
                              <w:t xml:space="preserve">a </w:t>
                            </w:r>
                            <w:r>
                              <w:t xml:space="preserve">comment resolution for </w:t>
                            </w:r>
                            <w:r w:rsidR="00856630">
                              <w:t>CID 500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D0.0</w:t>
                            </w:r>
                            <w:r w:rsidR="00856630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4804F7FC" w:rsidR="00E05EA6" w:rsidRPr="00BC098A" w:rsidRDefault="00E05EA6" w:rsidP="00BC098A">
                      <w:r>
                        <w:t xml:space="preserve">This document proposes </w:t>
                      </w:r>
                      <w:r w:rsidR="00856630">
                        <w:t xml:space="preserve">a </w:t>
                      </w:r>
                      <w:r>
                        <w:t xml:space="preserve">comment resolution for </w:t>
                      </w:r>
                      <w:r w:rsidR="00856630">
                        <w:t>CID 500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D0.0</w:t>
                      </w:r>
                      <w:r w:rsidR="0085663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95"/>
              <w:gridCol w:w="795"/>
              <w:gridCol w:w="723"/>
              <w:gridCol w:w="4907"/>
              <w:gridCol w:w="1099"/>
              <w:gridCol w:w="1104"/>
              <w:gridCol w:w="862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12586C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CA2FE0" w14:paraId="7F06B631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05462A91" w:rsidR="00CA2FE0" w:rsidRPr="009A61C3" w:rsidRDefault="00CA2FE0" w:rsidP="00CA2FE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81443D" w14:textId="77777777" w:rsidR="00CA2FE0" w:rsidRPr="009A61C3" w:rsidRDefault="00CA2FE0" w:rsidP="00CA2FE0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1473.00</w:t>
                  </w:r>
                </w:p>
                <w:p w14:paraId="1DC2660C" w14:textId="5114D34D" w:rsidR="00CA2FE0" w:rsidRPr="009A61C3" w:rsidRDefault="00CA2FE0" w:rsidP="00CA2FE0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3AEF51" w14:textId="77777777" w:rsidR="00CA2FE0" w:rsidRPr="009A61C3" w:rsidRDefault="00CA2FE0" w:rsidP="00CA2FE0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9.4.5.15</w:t>
                  </w:r>
                </w:p>
                <w:p w14:paraId="45D1A716" w14:textId="7B632FBB" w:rsidR="00CA2FE0" w:rsidRPr="009A61C3" w:rsidRDefault="00CA2FE0" w:rsidP="00CA2FE0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06D6631E" w:rsidR="00CA2FE0" w:rsidRPr="009A61C3" w:rsidRDefault="00CA2FE0" w:rsidP="00CA2FE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31258119" w:rsidR="00CA2FE0" w:rsidRPr="009A61C3" w:rsidRDefault="00CA2FE0" w:rsidP="00CA2FE0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There is no reference to dot11STACivicLocation in main body of the standard. The same thing apply to dot11STACivicLocationType.</w:t>
                  </w:r>
                  <w:r>
                    <w:rPr>
                      <w:rFonts w:ascii="Calibri" w:hAnsi="Calibri"/>
                      <w:color w:val="000000"/>
                    </w:rPr>
                    <w:br/>
                    <w:t>Furthermore, it seems that dot11STACivicLocationConfigTable is poorly defined and probably does not pass MIB compilation. In description of "dot11RMCivicConfigured", there is a reference to dot11STACivicLocationEntry. However, dot11STACivicLocationEntry is not defined anywhere.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1508C9E" w:rsidR="00CA2FE0" w:rsidRPr="009A61C3" w:rsidRDefault="00CA2FE0" w:rsidP="00CA2FE0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CA2FE0">
                    <w:rPr>
                      <w:rFonts w:asciiTheme="minorHAnsi" w:hAnsiTheme="minorHAnsi" w:cstheme="minorHAnsi"/>
                    </w:rPr>
                    <w:t>As it says in the 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102B5E06" w:rsidR="00CA2FE0" w:rsidRPr="009A61C3" w:rsidRDefault="00CA2FE0" w:rsidP="00CA2FE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Reject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6846967E" w:rsidR="00CA2FE0" w:rsidRDefault="00CA2FE0" w:rsidP="00CA2FE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70B8DE91" w14:textId="3BA72C96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</w:t>
      </w:r>
    </w:p>
    <w:p w14:paraId="149AC08D" w14:textId="1D86555C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45856431" w14:textId="2BC6A5C1" w:rsidR="00CA2FE0" w:rsidRPr="00856630" w:rsidRDefault="00CA2FE0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  <w:r w:rsidRPr="00856630">
        <w:rPr>
          <w:sz w:val="22"/>
          <w:szCs w:val="22"/>
        </w:rPr>
        <w:t xml:space="preserve">The MIB variable </w:t>
      </w:r>
      <w:r w:rsidRPr="00856630">
        <w:rPr>
          <w:sz w:val="22"/>
          <w:szCs w:val="22"/>
        </w:rPr>
        <w:t>dot11RMCivicConfigured</w:t>
      </w:r>
      <w:r w:rsidRPr="00856630">
        <w:rPr>
          <w:sz w:val="22"/>
          <w:szCs w:val="22"/>
        </w:rPr>
        <w:t xml:space="preserve"> that is referenced many times within the </w:t>
      </w:r>
      <w:r w:rsidR="00856630" w:rsidRPr="00856630">
        <w:rPr>
          <w:sz w:val="22"/>
          <w:szCs w:val="22"/>
        </w:rPr>
        <w:t>specification</w:t>
      </w:r>
      <w:r w:rsidRPr="00856630">
        <w:rPr>
          <w:sz w:val="22"/>
          <w:szCs w:val="22"/>
        </w:rPr>
        <w:t xml:space="preserve">, has a dependency on both </w:t>
      </w:r>
      <w:r w:rsidRPr="00856630">
        <w:rPr>
          <w:color w:val="000000"/>
          <w:sz w:val="22"/>
          <w:szCs w:val="22"/>
        </w:rPr>
        <w:t>dot11STACivicLocation and dot11STACivicLocationType</w:t>
      </w:r>
      <w:r w:rsidRPr="00856630">
        <w:rPr>
          <w:color w:val="000000"/>
          <w:sz w:val="22"/>
          <w:szCs w:val="22"/>
        </w:rPr>
        <w:t xml:space="preserve"> within its definition, so that these MIB variables are relevant to the main body normative text (see clause 11.10.9.9).</w:t>
      </w:r>
    </w:p>
    <w:p w14:paraId="4EF4F1CF" w14:textId="25ED67C5" w:rsidR="00CA2FE0" w:rsidRPr="00856630" w:rsidRDefault="00CA2FE0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</w:p>
    <w:p w14:paraId="1D34F97F" w14:textId="099296B7" w:rsidR="00856630" w:rsidRDefault="00CA2FE0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  <w:r w:rsidRPr="00856630">
        <w:rPr>
          <w:color w:val="000000"/>
          <w:sz w:val="22"/>
          <w:szCs w:val="22"/>
        </w:rPr>
        <w:t xml:space="preserve">The definition of </w:t>
      </w:r>
      <w:r w:rsidRPr="00856630">
        <w:rPr>
          <w:color w:val="000000"/>
          <w:sz w:val="22"/>
          <w:szCs w:val="22"/>
        </w:rPr>
        <w:t>dot11STACivicLocationConfigTable</w:t>
      </w:r>
      <w:r w:rsidRPr="00856630">
        <w:rPr>
          <w:color w:val="000000"/>
          <w:sz w:val="22"/>
          <w:szCs w:val="22"/>
        </w:rPr>
        <w:t xml:space="preserve"> appears to be aligned with the definition of other similar MIB variables.</w:t>
      </w:r>
    </w:p>
    <w:p w14:paraId="57AC9377" w14:textId="77777777" w:rsidR="00856630" w:rsidRPr="00856630" w:rsidRDefault="00856630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</w:p>
    <w:p w14:paraId="7B3349B7" w14:textId="77777777" w:rsidR="00856630" w:rsidRDefault="00856630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  <w:r w:rsidRPr="00856630">
        <w:rPr>
          <w:color w:val="000000"/>
          <w:sz w:val="22"/>
          <w:szCs w:val="22"/>
        </w:rPr>
        <w:t xml:space="preserve">Within the description of </w:t>
      </w:r>
      <w:r w:rsidRPr="00856630">
        <w:rPr>
          <w:color w:val="000000"/>
          <w:sz w:val="22"/>
          <w:szCs w:val="22"/>
        </w:rPr>
        <w:t>dot11RMCivicConfigured</w:t>
      </w:r>
      <w:r w:rsidRPr="00856630">
        <w:rPr>
          <w:color w:val="000000"/>
          <w:sz w:val="22"/>
          <w:szCs w:val="22"/>
        </w:rPr>
        <w:t xml:space="preserve">, there is no reference to </w:t>
      </w:r>
      <w:r w:rsidRPr="00856630">
        <w:rPr>
          <w:color w:val="000000"/>
          <w:sz w:val="22"/>
          <w:szCs w:val="22"/>
        </w:rPr>
        <w:t>dot11STACivicLocationEntry</w:t>
      </w:r>
      <w:r w:rsidRPr="00856630">
        <w:rPr>
          <w:color w:val="000000"/>
          <w:sz w:val="22"/>
          <w:szCs w:val="22"/>
        </w:rPr>
        <w:t xml:space="preserve">. However, there </w:t>
      </w:r>
      <w:r>
        <w:rPr>
          <w:color w:val="000000"/>
          <w:sz w:val="22"/>
          <w:szCs w:val="22"/>
        </w:rPr>
        <w:t>are</w:t>
      </w:r>
      <w:r w:rsidRPr="00856630">
        <w:rPr>
          <w:color w:val="000000"/>
          <w:sz w:val="22"/>
          <w:szCs w:val="22"/>
        </w:rPr>
        <w:t xml:space="preserve"> reference</w:t>
      </w:r>
      <w:r>
        <w:rPr>
          <w:color w:val="000000"/>
          <w:sz w:val="22"/>
          <w:szCs w:val="22"/>
        </w:rPr>
        <w:t>s</w:t>
      </w:r>
      <w:r w:rsidRPr="00856630">
        <w:rPr>
          <w:color w:val="000000"/>
          <w:sz w:val="22"/>
          <w:szCs w:val="22"/>
        </w:rPr>
        <w:t xml:space="preserve"> to</w:t>
      </w:r>
      <w:r>
        <w:rPr>
          <w:color w:val="000000"/>
          <w:sz w:val="22"/>
          <w:szCs w:val="22"/>
        </w:rPr>
        <w:t>:</w:t>
      </w:r>
    </w:p>
    <w:p w14:paraId="6E673FCD" w14:textId="77777777" w:rsidR="00856630" w:rsidRPr="00856630" w:rsidRDefault="00856630" w:rsidP="00856630">
      <w:pPr>
        <w:pStyle w:val="BodyText"/>
        <w:numPr>
          <w:ilvl w:val="0"/>
          <w:numId w:val="177"/>
        </w:numPr>
        <w:kinsoku w:val="0"/>
        <w:overflowPunct w:val="0"/>
        <w:spacing w:before="80"/>
        <w:rPr>
          <w:color w:val="000000"/>
          <w:sz w:val="22"/>
          <w:szCs w:val="22"/>
        </w:rPr>
      </w:pPr>
      <w:r w:rsidRPr="00856630">
        <w:rPr>
          <w:sz w:val="22"/>
          <w:szCs w:val="22"/>
        </w:rPr>
        <w:t>dot11STALCITable</w:t>
      </w:r>
      <w:r w:rsidRPr="00856630">
        <w:rPr>
          <w:sz w:val="22"/>
          <w:szCs w:val="22"/>
        </w:rPr>
        <w:t xml:space="preserve"> that is defined in Clause C.3 (Page 4086, line 51) and</w:t>
      </w:r>
      <w:r>
        <w:rPr>
          <w:sz w:val="22"/>
          <w:szCs w:val="22"/>
        </w:rPr>
        <w:t>,</w:t>
      </w:r>
    </w:p>
    <w:p w14:paraId="0085BE6C" w14:textId="5A53C31A" w:rsidR="00856630" w:rsidRPr="00856630" w:rsidRDefault="00856630" w:rsidP="00856630">
      <w:pPr>
        <w:pStyle w:val="BodyText"/>
        <w:numPr>
          <w:ilvl w:val="0"/>
          <w:numId w:val="177"/>
        </w:numPr>
        <w:kinsoku w:val="0"/>
        <w:overflowPunct w:val="0"/>
        <w:spacing w:before="80"/>
        <w:rPr>
          <w:color w:val="000000"/>
          <w:sz w:val="22"/>
          <w:szCs w:val="22"/>
        </w:rPr>
      </w:pPr>
      <w:r w:rsidRPr="00856630">
        <w:rPr>
          <w:sz w:val="22"/>
          <w:szCs w:val="22"/>
        </w:rPr>
        <w:t>dot11WirelessMgmtOptionsEntry</w:t>
      </w:r>
      <w:r w:rsidRPr="00856630">
        <w:rPr>
          <w:sz w:val="22"/>
          <w:szCs w:val="22"/>
        </w:rPr>
        <w:t xml:space="preserve"> that is defined in Clause C.3 (Page 3866, line 16)</w:t>
      </w:r>
    </w:p>
    <w:p w14:paraId="4150270C" w14:textId="77777777" w:rsidR="00CA2FE0" w:rsidRPr="00856630" w:rsidRDefault="00CA2FE0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222BCED6" w14:textId="27ABD07B" w:rsidR="00C65767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 w:rsidRPr="00C65767">
        <w:rPr>
          <w:b/>
          <w:bCs/>
          <w:sz w:val="22"/>
          <w:szCs w:val="22"/>
        </w:rPr>
        <w:t>Proposed Comment Resolution</w:t>
      </w:r>
    </w:p>
    <w:p w14:paraId="0569C5A5" w14:textId="45CFFEF1" w:rsidR="00CA2FE0" w:rsidRDefault="00CA2FE0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58ED0B96" w14:textId="6D5874EF" w:rsidR="00856630" w:rsidRDefault="00CA2FE0" w:rsidP="00856630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  <w:r w:rsidRPr="00856630">
        <w:rPr>
          <w:sz w:val="22"/>
          <w:szCs w:val="22"/>
        </w:rPr>
        <w:t xml:space="preserve">Reject: </w:t>
      </w:r>
      <w:r w:rsidR="00856630" w:rsidRPr="00856630">
        <w:rPr>
          <w:sz w:val="22"/>
          <w:szCs w:val="22"/>
        </w:rPr>
        <w:t xml:space="preserve">Both </w:t>
      </w:r>
      <w:r w:rsidR="00856630" w:rsidRPr="00856630">
        <w:rPr>
          <w:color w:val="000000"/>
          <w:sz w:val="22"/>
          <w:szCs w:val="22"/>
        </w:rPr>
        <w:t>dot11STACivicLocation and dot11STACivicLocationType</w:t>
      </w:r>
      <w:r w:rsidR="00856630">
        <w:rPr>
          <w:color w:val="000000"/>
          <w:sz w:val="22"/>
          <w:szCs w:val="22"/>
        </w:rPr>
        <w:t xml:space="preserve"> are dependencies of the variable </w:t>
      </w:r>
      <w:r w:rsidR="00856630" w:rsidRPr="00856630">
        <w:rPr>
          <w:sz w:val="22"/>
          <w:szCs w:val="22"/>
        </w:rPr>
        <w:t>dot11RMCivicConfigured</w:t>
      </w:r>
      <w:r w:rsidR="00856630">
        <w:rPr>
          <w:sz w:val="22"/>
          <w:szCs w:val="22"/>
        </w:rPr>
        <w:t xml:space="preserve"> that is used within clause 11.10.9.9. Therefore these are legitimately defined MIB variables. </w:t>
      </w:r>
      <w:r w:rsidR="00856630" w:rsidRPr="00856630">
        <w:rPr>
          <w:color w:val="000000"/>
          <w:sz w:val="22"/>
          <w:szCs w:val="22"/>
        </w:rPr>
        <w:t>The definition of dot11STACivicLocationConfigTable appears to be aligned with the definition of other similar MIB variables.</w:t>
      </w:r>
      <w:r w:rsidR="00856630">
        <w:rPr>
          <w:color w:val="000000"/>
          <w:sz w:val="22"/>
          <w:szCs w:val="22"/>
        </w:rPr>
        <w:t xml:space="preserve"> </w:t>
      </w:r>
      <w:r w:rsidR="00856630" w:rsidRPr="00856630">
        <w:rPr>
          <w:color w:val="000000"/>
          <w:sz w:val="22"/>
          <w:szCs w:val="22"/>
        </w:rPr>
        <w:t xml:space="preserve">Within the description of dot11RMCivicConfigured, there is no reference to dot11STACivicLocationEntry. However, there </w:t>
      </w:r>
      <w:r w:rsidR="00856630">
        <w:rPr>
          <w:color w:val="000000"/>
          <w:sz w:val="22"/>
          <w:szCs w:val="22"/>
        </w:rPr>
        <w:t>are</w:t>
      </w:r>
      <w:r w:rsidR="00856630" w:rsidRPr="00856630">
        <w:rPr>
          <w:color w:val="000000"/>
          <w:sz w:val="22"/>
          <w:szCs w:val="22"/>
        </w:rPr>
        <w:t xml:space="preserve"> reference</w:t>
      </w:r>
      <w:r w:rsidR="00856630">
        <w:rPr>
          <w:color w:val="000000"/>
          <w:sz w:val="22"/>
          <w:szCs w:val="22"/>
        </w:rPr>
        <w:t>s</w:t>
      </w:r>
      <w:r w:rsidR="00856630" w:rsidRPr="00856630">
        <w:rPr>
          <w:color w:val="000000"/>
          <w:sz w:val="22"/>
          <w:szCs w:val="22"/>
        </w:rPr>
        <w:t xml:space="preserve"> to</w:t>
      </w:r>
      <w:r w:rsidR="00856630">
        <w:rPr>
          <w:color w:val="000000"/>
          <w:sz w:val="22"/>
          <w:szCs w:val="22"/>
        </w:rPr>
        <w:t>:</w:t>
      </w:r>
    </w:p>
    <w:p w14:paraId="18E26312" w14:textId="77777777" w:rsidR="00856630" w:rsidRPr="00856630" w:rsidRDefault="00856630" w:rsidP="00856630">
      <w:pPr>
        <w:pStyle w:val="BodyText"/>
        <w:numPr>
          <w:ilvl w:val="0"/>
          <w:numId w:val="178"/>
        </w:numPr>
        <w:kinsoku w:val="0"/>
        <w:overflowPunct w:val="0"/>
        <w:spacing w:before="80"/>
        <w:rPr>
          <w:color w:val="000000"/>
          <w:sz w:val="22"/>
          <w:szCs w:val="22"/>
        </w:rPr>
      </w:pPr>
      <w:r w:rsidRPr="00856630">
        <w:rPr>
          <w:sz w:val="22"/>
          <w:szCs w:val="22"/>
        </w:rPr>
        <w:t>dot11STALCITable that is defined in Clause C.3 (Page 4086, line 51) and</w:t>
      </w:r>
      <w:r>
        <w:rPr>
          <w:sz w:val="22"/>
          <w:szCs w:val="22"/>
        </w:rPr>
        <w:t>,</w:t>
      </w:r>
    </w:p>
    <w:p w14:paraId="3FFF5A65" w14:textId="77777777" w:rsidR="00856630" w:rsidRPr="00856630" w:rsidRDefault="00856630" w:rsidP="00856630">
      <w:pPr>
        <w:pStyle w:val="BodyText"/>
        <w:numPr>
          <w:ilvl w:val="0"/>
          <w:numId w:val="178"/>
        </w:numPr>
        <w:kinsoku w:val="0"/>
        <w:overflowPunct w:val="0"/>
        <w:spacing w:before="80"/>
        <w:rPr>
          <w:color w:val="000000"/>
          <w:sz w:val="22"/>
          <w:szCs w:val="22"/>
        </w:rPr>
      </w:pPr>
      <w:r w:rsidRPr="00856630">
        <w:rPr>
          <w:sz w:val="22"/>
          <w:szCs w:val="22"/>
        </w:rPr>
        <w:t>dot11WirelessMgmtOptionsEntry that is defined in Clause C.3 (Page 3866, line 16)</w:t>
      </w:r>
    </w:p>
    <w:p w14:paraId="57743FA3" w14:textId="423B98A7" w:rsidR="00CA2FE0" w:rsidRPr="00C65767" w:rsidRDefault="00CA2FE0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46E042CB" w14:textId="246F322D" w:rsidR="00F20469" w:rsidRPr="009A61C3" w:rsidRDefault="00F20469" w:rsidP="009A61C3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F20469" w:rsidRPr="009A61C3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8FD8" w14:textId="77777777" w:rsidR="00BB58DD" w:rsidRDefault="00BB58DD">
      <w:r>
        <w:separator/>
      </w:r>
    </w:p>
  </w:endnote>
  <w:endnote w:type="continuationSeparator" w:id="0">
    <w:p w14:paraId="0997B63F" w14:textId="77777777" w:rsidR="00BB58DD" w:rsidRDefault="00BB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31AD" w14:textId="77777777" w:rsidR="00BB58DD" w:rsidRDefault="00BB58DD">
      <w:r>
        <w:separator/>
      </w:r>
    </w:p>
  </w:footnote>
  <w:footnote w:type="continuationSeparator" w:id="0">
    <w:p w14:paraId="24B5331B" w14:textId="77777777" w:rsidR="00BB58DD" w:rsidRDefault="00BB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388EA282" w:rsidR="00334CEF" w:rsidRPr="002C74FE" w:rsidRDefault="00334CEF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 w:rsidRPr="002C74FE">
      <w:rPr>
        <w:b/>
        <w:bCs/>
        <w:sz w:val="28"/>
        <w:szCs w:val="28"/>
      </w:rPr>
      <w:t>May 2021</w:t>
    </w:r>
    <w:r w:rsidRPr="002C74FE">
      <w:rPr>
        <w:b/>
        <w:bCs/>
        <w:sz w:val="28"/>
        <w:szCs w:val="28"/>
      </w:rPr>
      <w:tab/>
    </w:r>
    <w:r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Pr="002C74FE">
      <w:rPr>
        <w:b/>
        <w:bCs/>
        <w:sz w:val="28"/>
        <w:szCs w:val="28"/>
      </w:rPr>
      <w:fldChar w:fldCharType="begin"/>
    </w:r>
    <w:r w:rsidRPr="002C74FE">
      <w:rPr>
        <w:b/>
        <w:bCs/>
        <w:sz w:val="28"/>
        <w:szCs w:val="28"/>
      </w:rPr>
      <w:instrText xml:space="preserve"> TITLE  \* MERGEFORMAT </w:instrText>
    </w:r>
    <w:r w:rsidRPr="002C74FE">
      <w:rPr>
        <w:b/>
        <w:bCs/>
        <w:sz w:val="28"/>
        <w:szCs w:val="28"/>
      </w:rPr>
      <w:fldChar w:fldCharType="separate"/>
    </w:r>
    <w:r w:rsidR="007A527D">
      <w:rPr>
        <w:b/>
        <w:bCs/>
        <w:sz w:val="28"/>
        <w:szCs w:val="28"/>
      </w:rPr>
      <w:t>doc.: IEEE 802.11-21/0837r0</w:t>
    </w:r>
    <w:r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38BD7BCF"/>
    <w:multiLevelType w:val="hybridMultilevel"/>
    <w:tmpl w:val="9028AF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87D19B9"/>
    <w:multiLevelType w:val="hybridMultilevel"/>
    <w:tmpl w:val="9028AF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7"/>
  </w:num>
  <w:num w:numId="177">
    <w:abstractNumId w:val="176"/>
  </w:num>
  <w:num w:numId="178">
    <w:abstractNumId w:val="175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C0F1E"/>
    <w:rsid w:val="00116820"/>
    <w:rsid w:val="00121F9B"/>
    <w:rsid w:val="0012586C"/>
    <w:rsid w:val="001469CF"/>
    <w:rsid w:val="00167792"/>
    <w:rsid w:val="001E0A86"/>
    <w:rsid w:val="0022202C"/>
    <w:rsid w:val="00251BCD"/>
    <w:rsid w:val="002C74FE"/>
    <w:rsid w:val="002D3B9D"/>
    <w:rsid w:val="002D51A1"/>
    <w:rsid w:val="00324A61"/>
    <w:rsid w:val="003345BC"/>
    <w:rsid w:val="00334CEF"/>
    <w:rsid w:val="00390AAE"/>
    <w:rsid w:val="004061BD"/>
    <w:rsid w:val="004850AC"/>
    <w:rsid w:val="00485B50"/>
    <w:rsid w:val="004B38CC"/>
    <w:rsid w:val="004C1C45"/>
    <w:rsid w:val="00534A6E"/>
    <w:rsid w:val="0056504E"/>
    <w:rsid w:val="005963CD"/>
    <w:rsid w:val="005A0B88"/>
    <w:rsid w:val="005B14A9"/>
    <w:rsid w:val="00664BF8"/>
    <w:rsid w:val="006777E0"/>
    <w:rsid w:val="006B1565"/>
    <w:rsid w:val="007177C9"/>
    <w:rsid w:val="007546F2"/>
    <w:rsid w:val="00771407"/>
    <w:rsid w:val="007A527D"/>
    <w:rsid w:val="007B39DF"/>
    <w:rsid w:val="007B65C7"/>
    <w:rsid w:val="00802EFC"/>
    <w:rsid w:val="00856630"/>
    <w:rsid w:val="008574AC"/>
    <w:rsid w:val="00866F08"/>
    <w:rsid w:val="00890010"/>
    <w:rsid w:val="008B581D"/>
    <w:rsid w:val="008F59B4"/>
    <w:rsid w:val="009065E4"/>
    <w:rsid w:val="00977649"/>
    <w:rsid w:val="009A61C3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437DD"/>
    <w:rsid w:val="00B779E9"/>
    <w:rsid w:val="00BB2F0B"/>
    <w:rsid w:val="00BB58DD"/>
    <w:rsid w:val="00BB6E41"/>
    <w:rsid w:val="00BC098A"/>
    <w:rsid w:val="00BD2905"/>
    <w:rsid w:val="00BE13E0"/>
    <w:rsid w:val="00C65767"/>
    <w:rsid w:val="00C73F4D"/>
    <w:rsid w:val="00CA2FE0"/>
    <w:rsid w:val="00CD33A3"/>
    <w:rsid w:val="00CF2047"/>
    <w:rsid w:val="00D05CC7"/>
    <w:rsid w:val="00D247EE"/>
    <w:rsid w:val="00D555AE"/>
    <w:rsid w:val="00D94698"/>
    <w:rsid w:val="00DD74D6"/>
    <w:rsid w:val="00E05EA6"/>
    <w:rsid w:val="00E10F75"/>
    <w:rsid w:val="00E32A3F"/>
    <w:rsid w:val="00EA2CC3"/>
    <w:rsid w:val="00ED3B15"/>
    <w:rsid w:val="00EE3723"/>
    <w:rsid w:val="00F03A97"/>
    <w:rsid w:val="00F20469"/>
    <w:rsid w:val="00F40F36"/>
    <w:rsid w:val="00F44B84"/>
    <w:rsid w:val="00F53B32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802.11-21/0837r0</vt:lpstr>
    </vt:vector>
  </TitlesOfParts>
  <Company>Huawei Technologies Co., Ltd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802.11-21/0837r0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2021-05-13T13:08:00Z</dcterms:created>
  <dcterms:modified xsi:type="dcterms:W3CDTF">2021-05-13T13:08:00Z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